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CD4CA">
      <w:pPr>
        <w:pStyle w:val="10"/>
        <w:spacing w:before="105" w:line="184" w:lineRule="auto"/>
        <w:rPr>
          <w:rFonts w:hint="default" w:ascii="黑体" w:hAnsi="黑体" w:eastAsia="黑体" w:cs="黑体"/>
          <w:sz w:val="21"/>
          <w:szCs w:val="21"/>
          <w:lang w:val="en-US"/>
        </w:rPr>
      </w:pPr>
      <w:r>
        <w:rPr>
          <w:rFonts w:hint="default" w:ascii="Times New Roman" w:hAnsi="Times New Roman" w:cs="Times New Roman"/>
          <w:sz w:val="21"/>
          <w:szCs w:val="21"/>
        </w:rPr>
        <mc:AlternateContent>
          <mc:Choice Requires="wps">
            <w:drawing>
              <wp:anchor distT="0" distB="0" distL="114300" distR="114300" simplePos="0" relativeHeight="251659264" behindDoc="0" locked="0" layoutInCell="0" allowOverlap="1">
                <wp:simplePos x="0" y="0"/>
                <wp:positionH relativeFrom="page">
                  <wp:posOffset>894080</wp:posOffset>
                </wp:positionH>
                <wp:positionV relativeFrom="page">
                  <wp:posOffset>2694940</wp:posOffset>
                </wp:positionV>
                <wp:extent cx="6130290" cy="9525"/>
                <wp:effectExtent l="0" t="0" r="0" b="0"/>
                <wp:wrapNone/>
                <wp:docPr id="1" name="任意多边形 1"/>
                <wp:cNvGraphicFramePr/>
                <a:graphic xmlns:a="http://schemas.openxmlformats.org/drawingml/2006/main">
                  <a:graphicData uri="http://schemas.microsoft.com/office/word/2010/wordprocessingShape">
                    <wps:wsp>
                      <wps:cNvSpPr/>
                      <wps:spPr>
                        <a:xfrm>
                          <a:off x="0" y="0"/>
                          <a:ext cx="6130290" cy="9525"/>
                        </a:xfrm>
                        <a:custGeom>
                          <a:avLst/>
                          <a:gdLst/>
                          <a:ahLst/>
                          <a:cxnLst/>
                          <a:pathLst>
                            <a:path w="9654" h="15">
                              <a:moveTo>
                                <a:pt x="7" y="7"/>
                              </a:moveTo>
                              <a:lnTo>
                                <a:pt x="9645" y="7"/>
                              </a:lnTo>
                            </a:path>
                          </a:pathLst>
                        </a:custGeom>
                        <a:noFill/>
                        <a:ln w="9525" cap="rnd" cmpd="sng">
                          <a:solidFill>
                            <a:srgbClr val="000000"/>
                          </a:solidFill>
                          <a:prstDash val="solid"/>
                          <a:headEnd type="none" w="med" len="med"/>
                          <a:tailEnd type="none" w="med" len="med"/>
                        </a:ln>
                      </wps:spPr>
                      <wps:bodyPr upright="0"/>
                    </wps:wsp>
                  </a:graphicData>
                </a:graphic>
              </wp:anchor>
            </w:drawing>
          </mc:Choice>
          <mc:Fallback>
            <w:pict>
              <v:shape id="_x0000_s1026" o:spid="_x0000_s1026" o:spt="100" style="position:absolute;left:0pt;margin-left:70.4pt;margin-top:212.2pt;height:0.75pt;width:482.7pt;mso-position-horizontal-relative:page;mso-position-vertical-relative:page;z-index:251659264;mso-width-relative:page;mso-height-relative:page;" filled="f" stroked="t" coordsize="9654,15" o:allowincell="f" o:gfxdata="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UWKDYNYAAAAMAQAADwAAAAAAAAABACAAAAAiAAAAZHJzL2Rvd25yZXYueG1s&#10;UEsBAhQAFAAAAAgAh07iQGt1OO8zAgAAiwQAAA4AAAAAAAAAAQAgAAAAJQEAAGRycy9lMm9Eb2Mu&#10;eG1sUEsFBgAAAAAGAAYAWQEAAMoFAAAAAA==&#10;" path="m7,7l9645,7e">
                <v:fill on="f" focussize="0,0"/>
                <v:stroke color="#000000" joinstyle="round" endcap="round"/>
                <v:imagedata o:title=""/>
                <o:lock v:ext="edit" aspectratio="f"/>
              </v:shape>
            </w:pict>
          </mc:Fallback>
        </mc:AlternateContent>
      </w:r>
      <w:r>
        <w:rPr>
          <w:rFonts w:hint="default" w:ascii="Times New Roman" w:hAnsi="Times New Roman" w:cs="Times New Roman"/>
          <w:sz w:val="21"/>
          <w:szCs w:val="21"/>
          <w:lang w:val="en-US"/>
        </w:rPr>
        <w:t xml:space="preserve">ICS </w:t>
      </w:r>
      <w:r>
        <w:rPr>
          <w:rFonts w:hint="eastAsia" w:ascii="黑体" w:hAnsi="黑体" w:eastAsia="黑体" w:cs="黑体"/>
          <w:sz w:val="21"/>
          <w:szCs w:val="21"/>
          <w:lang w:val="en-US"/>
        </w:rPr>
        <w:t>11.020</w:t>
      </w:r>
    </w:p>
    <w:p w14:paraId="6F04A1A6">
      <w:pPr>
        <w:pStyle w:val="10"/>
        <w:spacing w:before="105" w:line="184" w:lineRule="auto"/>
        <w:ind w:left="10"/>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CCS </w:t>
      </w:r>
      <w:r>
        <w:rPr>
          <w:rFonts w:hint="eastAsia" w:ascii="黑体" w:hAnsi="黑体" w:eastAsia="黑体" w:cs="黑体"/>
          <w:sz w:val="21"/>
          <w:szCs w:val="21"/>
          <w:lang w:val="en-US"/>
        </w:rPr>
        <w:t>C05</w:t>
      </w:r>
    </w:p>
    <w:p w14:paraId="5A62B568">
      <w:pPr>
        <w:spacing w:before="13" w:line="186" w:lineRule="auto"/>
        <w:ind w:firstLine="8213" w:firstLineChars="650"/>
        <w:outlineLvl w:val="0"/>
        <w:rPr>
          <w:rFonts w:ascii="Times New Roman" w:hAnsi="Times New Roman" w:eastAsia="Times New Roman" w:cs="Times New Roman"/>
          <w:sz w:val="96"/>
          <w:szCs w:val="96"/>
        </w:rPr>
      </w:pPr>
      <w:r>
        <w:rPr>
          <w:rFonts w:ascii="Times New Roman" w:hAnsi="Times New Roman" w:eastAsia="Times New Roman" w:cs="Times New Roman"/>
          <w:b/>
          <w:bCs/>
          <w:spacing w:val="70"/>
          <w:w w:val="117"/>
          <w:sz w:val="96"/>
          <w:szCs w:val="96"/>
        </w:rPr>
        <w:drawing>
          <wp:anchor distT="0" distB="0" distL="114300" distR="114300" simplePos="0" relativeHeight="251660288" behindDoc="0" locked="0" layoutInCell="1" allowOverlap="1">
            <wp:simplePos x="0" y="0"/>
            <wp:positionH relativeFrom="column">
              <wp:posOffset>3705225</wp:posOffset>
            </wp:positionH>
            <wp:positionV relativeFrom="paragraph">
              <wp:posOffset>45085</wp:posOffset>
            </wp:positionV>
            <wp:extent cx="814705" cy="407035"/>
            <wp:effectExtent l="0" t="0" r="4445" b="12065"/>
            <wp:wrapNone/>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9"/>
                    <a:stretch>
                      <a:fillRect/>
                    </a:stretch>
                  </pic:blipFill>
                  <pic:spPr>
                    <a:xfrm>
                      <a:off x="0" y="0"/>
                      <a:ext cx="814705" cy="407035"/>
                    </a:xfrm>
                    <a:prstGeom prst="rect">
                      <a:avLst/>
                    </a:prstGeom>
                  </pic:spPr>
                </pic:pic>
              </a:graphicData>
            </a:graphic>
          </wp:anchor>
        </w:drawing>
      </w:r>
      <w:r>
        <w:rPr>
          <w:rFonts w:ascii="Times New Roman" w:hAnsi="Times New Roman" w:eastAsia="Times New Roman" w:cs="Times New Roman"/>
          <w:b/>
          <w:bCs/>
          <w:spacing w:val="70"/>
          <w:w w:val="117"/>
          <w:sz w:val="96"/>
          <w:szCs w:val="96"/>
        </w:rPr>
        <w:t>21</w:t>
      </w:r>
    </w:p>
    <w:p w14:paraId="06925263">
      <w:pPr>
        <w:pStyle w:val="10"/>
        <w:spacing w:before="314" w:line="218" w:lineRule="auto"/>
        <w:ind w:left="27"/>
        <w:rPr>
          <w:sz w:val="48"/>
          <w:szCs w:val="48"/>
        </w:rPr>
      </w:pPr>
      <w:r>
        <w:rPr>
          <w:spacing w:val="-20"/>
          <w:sz w:val="48"/>
          <w:szCs w:val="48"/>
        </w:rPr>
        <w:t>辽</w:t>
      </w:r>
      <w:r>
        <w:rPr>
          <w:spacing w:val="23"/>
          <w:sz w:val="48"/>
          <w:szCs w:val="48"/>
        </w:rPr>
        <w:t xml:space="preserve">   </w:t>
      </w:r>
      <w:r>
        <w:rPr>
          <w:spacing w:val="-20"/>
          <w:sz w:val="48"/>
          <w:szCs w:val="48"/>
        </w:rPr>
        <w:t>宁</w:t>
      </w:r>
      <w:r>
        <w:rPr>
          <w:spacing w:val="19"/>
          <w:sz w:val="48"/>
          <w:szCs w:val="48"/>
        </w:rPr>
        <w:t xml:space="preserve">   </w:t>
      </w:r>
      <w:r>
        <w:rPr>
          <w:spacing w:val="-20"/>
          <w:sz w:val="48"/>
          <w:szCs w:val="48"/>
        </w:rPr>
        <w:t>省</w:t>
      </w:r>
      <w:r>
        <w:rPr>
          <w:spacing w:val="18"/>
          <w:sz w:val="48"/>
          <w:szCs w:val="48"/>
        </w:rPr>
        <w:t xml:space="preserve">    </w:t>
      </w:r>
      <w:r>
        <w:rPr>
          <w:spacing w:val="-20"/>
          <w:sz w:val="48"/>
          <w:szCs w:val="48"/>
        </w:rPr>
        <w:t>地</w:t>
      </w:r>
      <w:r>
        <w:rPr>
          <w:spacing w:val="21"/>
          <w:sz w:val="48"/>
          <w:szCs w:val="48"/>
        </w:rPr>
        <w:t xml:space="preserve">    </w:t>
      </w:r>
      <w:r>
        <w:rPr>
          <w:spacing w:val="-20"/>
          <w:sz w:val="48"/>
          <w:szCs w:val="48"/>
        </w:rPr>
        <w:t>方</w:t>
      </w:r>
      <w:r>
        <w:rPr>
          <w:spacing w:val="16"/>
          <w:sz w:val="48"/>
          <w:szCs w:val="48"/>
        </w:rPr>
        <w:t xml:space="preserve">    </w:t>
      </w:r>
      <w:r>
        <w:rPr>
          <w:spacing w:val="-20"/>
          <w:sz w:val="48"/>
          <w:szCs w:val="48"/>
        </w:rPr>
        <w:t>标</w:t>
      </w:r>
      <w:r>
        <w:rPr>
          <w:spacing w:val="18"/>
          <w:sz w:val="48"/>
          <w:szCs w:val="48"/>
        </w:rPr>
        <w:t xml:space="preserve">    </w:t>
      </w:r>
      <w:r>
        <w:rPr>
          <w:spacing w:val="-20"/>
          <w:sz w:val="48"/>
          <w:szCs w:val="48"/>
        </w:rPr>
        <w:t>准</w:t>
      </w:r>
    </w:p>
    <w:p w14:paraId="69BF877A">
      <w:pPr>
        <w:pStyle w:val="10"/>
        <w:spacing w:before="91" w:line="184" w:lineRule="auto"/>
        <w:rPr>
          <w:rFonts w:hint="eastAsia"/>
          <w:spacing w:val="-1"/>
          <w:lang w:val="en-US" w:eastAsia="zh-CN"/>
        </w:rPr>
      </w:pPr>
    </w:p>
    <w:p w14:paraId="5A892B83">
      <w:pPr>
        <w:pStyle w:val="10"/>
        <w:keepNext w:val="0"/>
        <w:keepLines w:val="0"/>
        <w:pageBreakBefore w:val="0"/>
        <w:widowControl w:val="0"/>
        <w:kinsoku/>
        <w:wordWrap/>
        <w:overflowPunct/>
        <w:topLinePunct w:val="0"/>
        <w:autoSpaceDE/>
        <w:autoSpaceDN/>
        <w:bidi w:val="0"/>
        <w:adjustRightInd/>
        <w:snapToGrid/>
        <w:spacing w:before="91" w:line="185" w:lineRule="auto"/>
        <w:ind w:left="5386" w:firstLine="1390" w:firstLineChars="500"/>
        <w:textAlignment w:val="auto"/>
      </w:pPr>
      <w:r>
        <w:rPr>
          <w:rFonts w:hint="eastAsia"/>
          <w:spacing w:val="-1"/>
          <w:lang w:val="en-US" w:eastAsia="zh-CN"/>
        </w:rPr>
        <w:t>DB21/T XXXXX—XXXX</w:t>
      </w:r>
    </w:p>
    <w:p w14:paraId="6598F307">
      <w:pPr>
        <w:spacing w:line="247" w:lineRule="auto"/>
        <w:rPr>
          <w:rFonts w:ascii="Arial"/>
          <w:sz w:val="21"/>
        </w:rPr>
      </w:pPr>
    </w:p>
    <w:p w14:paraId="5A09C0C8">
      <w:pPr>
        <w:spacing w:line="247" w:lineRule="auto"/>
        <w:rPr>
          <w:rFonts w:ascii="Arial"/>
          <w:sz w:val="21"/>
        </w:rPr>
      </w:pPr>
    </w:p>
    <w:p w14:paraId="1DEA882E">
      <w:pPr>
        <w:spacing w:line="248" w:lineRule="auto"/>
        <w:rPr>
          <w:rFonts w:ascii="Arial"/>
          <w:sz w:val="21"/>
        </w:rPr>
      </w:pPr>
    </w:p>
    <w:p w14:paraId="7BB4D191">
      <w:pPr>
        <w:spacing w:line="248" w:lineRule="auto"/>
        <w:rPr>
          <w:rFonts w:ascii="Arial"/>
          <w:sz w:val="21"/>
        </w:rPr>
      </w:pPr>
    </w:p>
    <w:p w14:paraId="53124001">
      <w:pPr>
        <w:spacing w:line="248" w:lineRule="auto"/>
        <w:rPr>
          <w:rFonts w:ascii="Arial"/>
          <w:sz w:val="21"/>
        </w:rPr>
      </w:pPr>
    </w:p>
    <w:p w14:paraId="217CE33F">
      <w:pPr>
        <w:spacing w:line="248" w:lineRule="auto"/>
        <w:rPr>
          <w:rFonts w:ascii="Arial"/>
          <w:sz w:val="21"/>
        </w:rPr>
      </w:pPr>
    </w:p>
    <w:p w14:paraId="3038C106">
      <w:pPr>
        <w:spacing w:line="248" w:lineRule="auto"/>
        <w:rPr>
          <w:rFonts w:ascii="Arial"/>
          <w:sz w:val="21"/>
        </w:rPr>
      </w:pPr>
    </w:p>
    <w:p w14:paraId="7887DEBA">
      <w:pPr>
        <w:spacing w:line="248" w:lineRule="auto"/>
        <w:rPr>
          <w:rFonts w:ascii="Arial"/>
          <w:sz w:val="21"/>
        </w:rPr>
      </w:pPr>
    </w:p>
    <w:p w14:paraId="6E880BE3">
      <w:pPr>
        <w:spacing w:line="248" w:lineRule="auto"/>
        <w:rPr>
          <w:rFonts w:ascii="Arial"/>
          <w:sz w:val="21"/>
        </w:rPr>
      </w:pPr>
    </w:p>
    <w:p w14:paraId="2B220242">
      <w:pPr>
        <w:spacing w:line="248" w:lineRule="auto"/>
        <w:rPr>
          <w:rFonts w:ascii="Arial"/>
          <w:sz w:val="21"/>
        </w:rPr>
      </w:pPr>
    </w:p>
    <w:p w14:paraId="3B997775">
      <w:pPr>
        <w:pStyle w:val="10"/>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sz w:val="52"/>
          <w:szCs w:val="52"/>
        </w:rPr>
      </w:pPr>
      <w:r>
        <w:rPr>
          <w:rFonts w:hint="eastAsia"/>
          <w:sz w:val="52"/>
          <w:szCs w:val="52"/>
        </w:rPr>
        <w:t>媒介生物综合管理技术规范</w:t>
      </w:r>
      <w:r>
        <w:rPr>
          <w:rFonts w:hint="eastAsia"/>
          <w:sz w:val="52"/>
          <w:szCs w:val="52"/>
          <w:lang w:val="en-US" w:eastAsia="zh-CN"/>
        </w:rPr>
        <w:t xml:space="preserve"> </w:t>
      </w:r>
      <w:r>
        <w:rPr>
          <w:rFonts w:hint="eastAsia"/>
          <w:sz w:val="52"/>
          <w:szCs w:val="52"/>
          <w:lang w:eastAsia="zh-CN"/>
        </w:rPr>
        <w:t>蚊虫</w:t>
      </w:r>
      <w:r>
        <w:rPr>
          <w:rFonts w:hint="eastAsia"/>
          <w:sz w:val="52"/>
          <w:szCs w:val="52"/>
        </w:rPr>
        <w:t>防制</w:t>
      </w:r>
    </w:p>
    <w:p w14:paraId="751FEDD5">
      <w:pPr>
        <w:pStyle w:val="10"/>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黑体" w:hAnsi="黑体" w:eastAsia="黑体" w:cs="黑体"/>
          <w:sz w:val="28"/>
          <w:szCs w:val="28"/>
          <w:highlight w:val="none"/>
        </w:rPr>
      </w:pPr>
      <w:r>
        <w:rPr>
          <w:rFonts w:hint="eastAsia" w:ascii="黑体" w:hAnsi="黑体" w:eastAsia="黑体" w:cs="黑体"/>
          <w:sz w:val="28"/>
          <w:szCs w:val="28"/>
          <w:highlight w:val="none"/>
        </w:rPr>
        <w:t>Specification for integrated vector management—Mosquito Control</w:t>
      </w:r>
    </w:p>
    <w:p w14:paraId="67A1D43C">
      <w:pPr>
        <w:spacing w:line="252" w:lineRule="auto"/>
        <w:rPr>
          <w:rFonts w:ascii="Arial"/>
          <w:sz w:val="21"/>
        </w:rPr>
      </w:pPr>
    </w:p>
    <w:p w14:paraId="224A63DF">
      <w:pPr>
        <w:spacing w:line="252" w:lineRule="auto"/>
        <w:rPr>
          <w:rFonts w:ascii="Arial"/>
          <w:sz w:val="21"/>
        </w:rPr>
      </w:pPr>
    </w:p>
    <w:p w14:paraId="4323321D">
      <w:pPr>
        <w:spacing w:line="252" w:lineRule="auto"/>
        <w:rPr>
          <w:rFonts w:ascii="Arial"/>
          <w:sz w:val="21"/>
        </w:rPr>
      </w:pPr>
    </w:p>
    <w:p w14:paraId="311699B7">
      <w:pPr>
        <w:spacing w:line="252" w:lineRule="auto"/>
        <w:rPr>
          <w:rFonts w:ascii="Arial"/>
          <w:sz w:val="21"/>
        </w:rPr>
      </w:pPr>
    </w:p>
    <w:p w14:paraId="0A5C6CD5">
      <w:pPr>
        <w:spacing w:line="252" w:lineRule="auto"/>
        <w:rPr>
          <w:rFonts w:ascii="Arial"/>
          <w:sz w:val="21"/>
        </w:rPr>
      </w:pPr>
    </w:p>
    <w:p w14:paraId="4B6D77A2">
      <w:pPr>
        <w:spacing w:line="252" w:lineRule="auto"/>
        <w:rPr>
          <w:rFonts w:ascii="Arial"/>
          <w:sz w:val="21"/>
        </w:rPr>
      </w:pPr>
    </w:p>
    <w:p w14:paraId="52CE3609">
      <w:pPr>
        <w:spacing w:line="252" w:lineRule="auto"/>
        <w:rPr>
          <w:rFonts w:ascii="Arial"/>
          <w:sz w:val="21"/>
        </w:rPr>
      </w:pPr>
    </w:p>
    <w:p w14:paraId="3ABDCBCA">
      <w:pPr>
        <w:pStyle w:val="10"/>
        <w:tabs>
          <w:tab w:val="left" w:pos="1577"/>
        </w:tabs>
        <w:spacing w:before="57" w:line="185" w:lineRule="auto"/>
        <w:rPr>
          <w:rFonts w:hint="eastAsia"/>
          <w:spacing w:val="-5"/>
          <w:lang w:val="en-US" w:eastAsia="zh-CN"/>
        </w:rPr>
      </w:pPr>
    </w:p>
    <w:p w14:paraId="1EC0AABD">
      <w:pPr>
        <w:pStyle w:val="10"/>
        <w:spacing w:before="57" w:line="185" w:lineRule="auto"/>
        <w:ind w:left="19" w:firstLine="810" w:firstLineChars="300"/>
        <w:rPr>
          <w:rFonts w:hint="eastAsia"/>
          <w:spacing w:val="-5"/>
          <w:lang w:val="en-US" w:eastAsia="zh-CN"/>
        </w:rPr>
      </w:pPr>
    </w:p>
    <w:p w14:paraId="6FE362CA">
      <w:pPr>
        <w:pStyle w:val="10"/>
        <w:spacing w:before="57" w:line="185" w:lineRule="auto"/>
        <w:ind w:left="19" w:firstLine="810" w:firstLineChars="300"/>
        <w:rPr>
          <w:rFonts w:hint="eastAsia"/>
          <w:spacing w:val="-5"/>
          <w:lang w:val="en-US" w:eastAsia="zh-CN"/>
        </w:rPr>
      </w:pPr>
    </w:p>
    <w:p w14:paraId="16ABC40A">
      <w:pPr>
        <w:pStyle w:val="10"/>
        <w:spacing w:before="57" w:line="185" w:lineRule="auto"/>
        <w:ind w:left="19" w:firstLine="810" w:firstLineChars="300"/>
        <w:rPr>
          <w:rFonts w:hint="eastAsia"/>
          <w:spacing w:val="-5"/>
          <w:lang w:val="en-US" w:eastAsia="zh-CN"/>
        </w:rPr>
      </w:pPr>
    </w:p>
    <w:p w14:paraId="73F07A06">
      <w:pPr>
        <w:pStyle w:val="10"/>
        <w:spacing w:before="57" w:line="185" w:lineRule="auto"/>
        <w:ind w:left="19" w:firstLine="810" w:firstLineChars="300"/>
        <w:rPr>
          <w:rFonts w:hint="eastAsia"/>
          <w:spacing w:val="-5"/>
          <w:lang w:val="en-US" w:eastAsia="zh-CN"/>
        </w:rPr>
      </w:pPr>
    </w:p>
    <w:p w14:paraId="23874A07">
      <w:pPr>
        <w:pStyle w:val="10"/>
        <w:spacing w:before="57" w:line="185" w:lineRule="auto"/>
        <w:ind w:left="19" w:firstLine="810" w:firstLineChars="300"/>
        <w:rPr>
          <w:rFonts w:hint="eastAsia"/>
          <w:spacing w:val="-5"/>
          <w:lang w:val="en-US" w:eastAsia="zh-CN"/>
        </w:rPr>
      </w:pPr>
    </w:p>
    <w:p w14:paraId="5D560A55">
      <w:pPr>
        <w:pStyle w:val="10"/>
        <w:spacing w:before="57" w:line="185" w:lineRule="auto"/>
        <w:ind w:left="19" w:firstLine="810" w:firstLineChars="300"/>
        <w:rPr>
          <w:rFonts w:hint="eastAsia"/>
          <w:spacing w:val="-5"/>
          <w:lang w:val="en-US" w:eastAsia="zh-CN"/>
        </w:rPr>
      </w:pPr>
    </w:p>
    <w:p w14:paraId="5C352C9F">
      <w:pPr>
        <w:pStyle w:val="10"/>
        <w:spacing w:before="57" w:line="185" w:lineRule="auto"/>
        <w:ind w:left="19" w:firstLine="810" w:firstLineChars="300"/>
        <w:rPr>
          <w:rFonts w:hint="eastAsia"/>
          <w:spacing w:val="-5"/>
          <w:lang w:val="en-US" w:eastAsia="zh-CN"/>
        </w:rPr>
      </w:pPr>
    </w:p>
    <w:p w14:paraId="1CB3A1F7">
      <w:pPr>
        <w:pStyle w:val="10"/>
        <w:spacing w:before="57" w:line="185" w:lineRule="auto"/>
        <w:ind w:left="19" w:firstLine="810" w:firstLineChars="300"/>
        <w:rPr>
          <w:rFonts w:hint="eastAsia"/>
          <w:spacing w:val="-5"/>
          <w:lang w:val="en-US" w:eastAsia="zh-CN"/>
        </w:rPr>
      </w:pPr>
    </w:p>
    <w:p w14:paraId="729D2115">
      <w:pPr>
        <w:pStyle w:val="10"/>
        <w:spacing w:line="240" w:lineRule="auto"/>
        <w:ind w:left="0" w:firstLine="540" w:firstLineChars="200"/>
        <w:rPr>
          <w:rFonts w:hint="eastAsia"/>
          <w:spacing w:val="-5"/>
          <w:lang w:val="en-US" w:eastAsia="zh-CN"/>
        </w:rPr>
      </w:pPr>
    </w:p>
    <w:p w14:paraId="5BFD112B">
      <w:pPr>
        <w:pStyle w:val="10"/>
        <w:spacing w:line="240" w:lineRule="auto"/>
        <w:ind w:left="0" w:firstLine="540" w:firstLineChars="200"/>
        <w:rPr>
          <w:rFonts w:hint="eastAsia"/>
          <w:spacing w:val="-5"/>
          <w:lang w:val="en-US" w:eastAsia="zh-CN"/>
        </w:rPr>
      </w:pPr>
    </w:p>
    <w:p w14:paraId="39EAC845">
      <w:pPr>
        <w:pStyle w:val="10"/>
        <w:spacing w:line="240" w:lineRule="auto"/>
        <w:ind w:left="0" w:firstLine="540" w:firstLineChars="200"/>
        <w:rPr>
          <w:rFonts w:hint="eastAsia"/>
          <w:spacing w:val="-5"/>
          <w:lang w:val="en-US" w:eastAsia="zh-CN"/>
        </w:rPr>
      </w:pPr>
    </w:p>
    <w:p w14:paraId="63617A3B">
      <w:pPr>
        <w:pStyle w:val="10"/>
        <w:spacing w:line="240" w:lineRule="auto"/>
        <w:rPr>
          <w:rFonts w:hint="eastAsia"/>
          <w:spacing w:val="-5"/>
          <w:lang w:val="en-US" w:eastAsia="zh-CN"/>
        </w:rPr>
      </w:pPr>
    </w:p>
    <w:p w14:paraId="5C0CD1ED">
      <w:pPr>
        <w:pStyle w:val="10"/>
        <w:spacing w:line="240" w:lineRule="auto"/>
        <w:ind w:left="0" w:firstLine="540" w:firstLineChars="200"/>
        <w:rPr>
          <w:rFonts w:hint="eastAsia"/>
          <w:spacing w:val="-5"/>
          <w:lang w:val="en-US" w:eastAsia="zh-CN"/>
        </w:rPr>
      </w:pPr>
    </w:p>
    <w:p w14:paraId="14032A61">
      <w:pPr>
        <w:pStyle w:val="10"/>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default"/>
          <w:spacing w:val="-5"/>
          <w:lang w:val="en-US" w:eastAsia="zh-CN"/>
        </w:rPr>
      </w:pPr>
      <w:r>
        <w:rPr>
          <w:rFonts w:hint="eastAsia"/>
          <w:spacing w:val="-5"/>
          <w:lang w:val="en-US" w:eastAsia="zh-CN"/>
        </w:rPr>
        <w:t>XXXX-XX-XX发布</w:t>
      </w:r>
      <w:r>
        <w:rPr>
          <w:spacing w:val="6"/>
        </w:rPr>
        <w:t xml:space="preserve"> </w:t>
      </w:r>
      <w:r>
        <w:rPr>
          <w:rFonts w:hint="eastAsia"/>
          <w:spacing w:val="6"/>
          <w:lang w:val="en-US" w:eastAsia="zh-CN"/>
        </w:rPr>
        <w:t xml:space="preserve">                                    </w:t>
      </w:r>
      <w:r>
        <w:rPr>
          <w:rFonts w:hint="eastAsia"/>
          <w:spacing w:val="-5"/>
          <w:lang w:val="en-US" w:eastAsia="zh-CN"/>
        </w:rPr>
        <w:t>XXXX-XX-XX实施</w:t>
      </w:r>
    </w:p>
    <w:p w14:paraId="4C1CBBD0">
      <w:pPr>
        <w:pStyle w:val="10"/>
        <w:spacing w:line="240" w:lineRule="auto"/>
        <w:ind w:left="0" w:firstLine="560" w:firstLineChars="200"/>
        <w:rPr>
          <w:rFonts w:hint="eastAsia"/>
          <w:spacing w:val="-5"/>
          <w:lang w:val="en-US" w:eastAsia="zh-CN"/>
        </w:rPr>
      </w:pPr>
      <w:r>
        <mc:AlternateContent>
          <mc:Choice Requires="wps">
            <w:drawing>
              <wp:anchor distT="0" distB="0" distL="114300" distR="114300" simplePos="0" relativeHeight="251661312" behindDoc="0" locked="0" layoutInCell="0" allowOverlap="1">
                <wp:simplePos x="0" y="0"/>
                <wp:positionH relativeFrom="page">
                  <wp:posOffset>933450</wp:posOffset>
                </wp:positionH>
                <wp:positionV relativeFrom="page">
                  <wp:posOffset>9232265</wp:posOffset>
                </wp:positionV>
                <wp:extent cx="6129655" cy="9525"/>
                <wp:effectExtent l="0" t="0" r="0" b="0"/>
                <wp:wrapNone/>
                <wp:docPr id="2" name="任意多边形 2"/>
                <wp:cNvGraphicFramePr/>
                <a:graphic xmlns:a="http://schemas.openxmlformats.org/drawingml/2006/main">
                  <a:graphicData uri="http://schemas.microsoft.com/office/word/2010/wordprocessingShape">
                    <wps:wsp>
                      <wps:cNvSpPr/>
                      <wps:spPr>
                        <a:xfrm>
                          <a:off x="0" y="0"/>
                          <a:ext cx="6129655" cy="9525"/>
                        </a:xfrm>
                        <a:custGeom>
                          <a:avLst/>
                          <a:gdLst/>
                          <a:ahLst/>
                          <a:cxnLst/>
                          <a:pathLst>
                            <a:path w="9652" h="15">
                              <a:moveTo>
                                <a:pt x="7" y="7"/>
                              </a:moveTo>
                              <a:lnTo>
                                <a:pt x="9645" y="7"/>
                              </a:lnTo>
                            </a:path>
                          </a:pathLst>
                        </a:custGeom>
                        <a:noFill/>
                        <a:ln w="9525" cap="rnd"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3.5pt;margin-top:726.95pt;height:0.75pt;width:482.65pt;mso-position-horizontal-relative:page;mso-position-vertical-relative:page;z-index:251661312;mso-width-relative:page;mso-height-relative:page;" filled="f" stroked="t" coordsize="9652,15" o:allowincell="f" o:gfxdata="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qbfcvXAAAADgEAAA8AAAAAAAAAAQAgAAAAIgAAAGRycy9kb3ducmV2&#10;LnhtbFBLAQIUABQAAAAIAIdO4kDXYr7rNgIAAIsEAAAOAAAAAAAAAAEAIAAAACYBAABkcnMvZTJv&#10;RG9jLnhtbFBLBQYAAAAABgAGAFkBAADOBQAAAAA=&#10;" path="m7,7l9645,7e">
                <v:fill on="f" focussize="0,0"/>
                <v:stroke color="#000000" joinstyle="round" endcap="round"/>
                <v:imagedata o:title=""/>
                <o:lock v:ext="edit" aspectratio="f"/>
              </v:shape>
            </w:pict>
          </mc:Fallback>
        </mc:AlternateContent>
      </w:r>
    </w:p>
    <w:p w14:paraId="36A58B6F">
      <w:pPr>
        <w:pStyle w:val="10"/>
        <w:spacing w:line="240" w:lineRule="auto"/>
        <w:ind w:left="0" w:firstLine="540" w:firstLineChars="200"/>
        <w:rPr>
          <w:rFonts w:hint="eastAsia"/>
          <w:spacing w:val="-5"/>
          <w:lang w:val="en-US" w:eastAsia="zh-CN"/>
        </w:rPr>
      </w:pPr>
    </w:p>
    <w:p w14:paraId="13E1BEBB">
      <w:pPr>
        <w:pStyle w:val="10"/>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spacing w:val="-5"/>
          <w:lang w:val="en-US" w:eastAsia="zh-CN"/>
        </w:rPr>
        <w:sectPr>
          <w:footerReference r:id="rId3" w:type="first"/>
          <w:pgSz w:w="11907" w:h="16839"/>
          <w:pgMar w:top="618" w:right="821" w:bottom="0" w:left="1408" w:header="0" w:footer="0" w:gutter="0"/>
          <w:pgBorders>
            <w:top w:val="none" w:sz="0" w:space="0"/>
            <w:left w:val="none" w:sz="0" w:space="0"/>
            <w:bottom w:val="none" w:sz="0" w:space="0"/>
            <w:right w:val="none" w:sz="0" w:space="0"/>
          </w:pgBorders>
          <w:pgNumType w:fmt="upperRoman"/>
          <w:cols w:space="720" w:num="1"/>
        </w:sectPr>
      </w:pPr>
      <w:r>
        <w:rPr>
          <w:rFonts w:hint="eastAsia"/>
          <w:spacing w:val="-5"/>
          <w:highlight w:val="none"/>
          <w:lang w:val="en-US" w:eastAsia="zh-CN"/>
        </w:rPr>
        <w:t>辽宁省市场监督管理局    发 布</w:t>
      </w:r>
    </w:p>
    <w:p w14:paraId="4DA85D74">
      <w:pPr>
        <w:pStyle w:val="115"/>
        <w:jc w:val="center"/>
        <w:rPr>
          <w:highlight w:val="none"/>
        </w:rPr>
      </w:pPr>
      <w:r>
        <w:rPr>
          <w:rFonts w:hint="eastAsia"/>
          <w:highlight w:val="none"/>
        </w:rPr>
        <w:t>前</w:t>
      </w:r>
      <w:bookmarkStart w:id="0" w:name="BKQY"/>
      <w:r>
        <w:rPr>
          <w:rFonts w:hAnsi="黑体"/>
          <w:highlight w:val="none"/>
        </w:rPr>
        <w:t>  </w:t>
      </w:r>
      <w:r>
        <w:rPr>
          <w:rFonts w:hint="eastAsia"/>
          <w:highlight w:val="none"/>
        </w:rPr>
        <w:t>言</w:t>
      </w:r>
      <w:bookmarkEnd w:id="0"/>
    </w:p>
    <w:p w14:paraId="4C84E467">
      <w:pPr>
        <w:pStyle w:val="24"/>
        <w:rPr>
          <w:highlight w:val="none"/>
        </w:rPr>
      </w:pPr>
      <w:r>
        <w:rPr>
          <w:rFonts w:hint="eastAsia"/>
          <w:highlight w:val="none"/>
        </w:rPr>
        <w:t>本文件按照GB/T 1.1—2020《标准化工作导则  第1部分：标准化文件的结构和起草规则》给出的规则起草。</w:t>
      </w:r>
    </w:p>
    <w:p w14:paraId="448FD2D8">
      <w:pPr>
        <w:pStyle w:val="24"/>
        <w:rPr>
          <w:rFonts w:hint="eastAsia"/>
          <w:highlight w:val="none"/>
        </w:rPr>
      </w:pPr>
      <w:r>
        <w:rPr>
          <w:rFonts w:hint="eastAsia"/>
          <w:highlight w:val="none"/>
        </w:rPr>
        <w:t>请注意本文件的某些内容可能涉及专利。本文件的发布机构不承担识别专利的责任。</w:t>
      </w:r>
    </w:p>
    <w:p w14:paraId="0BBA90A4">
      <w:pPr>
        <w:pStyle w:val="24"/>
        <w:rPr>
          <w:highlight w:val="none"/>
        </w:rPr>
      </w:pPr>
      <w:bookmarkStart w:id="38" w:name="_GoBack"/>
      <w:bookmarkEnd w:id="38"/>
      <w:r>
        <w:rPr>
          <w:rFonts w:hint="eastAsia"/>
          <w:highlight w:val="none"/>
        </w:rPr>
        <w:t>本文件由</w:t>
      </w:r>
      <w:r>
        <w:rPr>
          <w:rFonts w:hint="eastAsia"/>
          <w:highlight w:val="none"/>
          <w:lang w:val="en-US" w:eastAsia="zh-CN"/>
        </w:rPr>
        <w:t>辽宁省卫生健康委员会</w:t>
      </w:r>
      <w:r>
        <w:rPr>
          <w:rFonts w:hint="eastAsia"/>
          <w:highlight w:val="none"/>
        </w:rPr>
        <w:t>提出并归口。</w:t>
      </w:r>
    </w:p>
    <w:p w14:paraId="68D1A301">
      <w:pPr>
        <w:pStyle w:val="24"/>
        <w:rPr>
          <w:highlight w:val="none"/>
        </w:rPr>
      </w:pPr>
      <w:r>
        <w:rPr>
          <w:rFonts w:hint="eastAsia"/>
          <w:highlight w:val="none"/>
        </w:rPr>
        <w:t>本文件起草单位：辽宁省疾病预防控制中心</w:t>
      </w:r>
      <w:r>
        <w:rPr>
          <w:rFonts w:hint="eastAsia"/>
          <w:highlight w:val="none"/>
          <w:lang w:eastAsia="zh-CN"/>
        </w:rPr>
        <w:t>，</w:t>
      </w:r>
      <w:r>
        <w:rPr>
          <w:rFonts w:hint="eastAsia"/>
          <w:highlight w:val="none"/>
          <w:lang w:val="en-US" w:eastAsia="zh-CN"/>
        </w:rPr>
        <w:t>中国疾病预防控制中心传染病预防控制所</w:t>
      </w:r>
      <w:r>
        <w:rPr>
          <w:rFonts w:hint="eastAsia"/>
          <w:highlight w:val="none"/>
        </w:rPr>
        <w:t>。</w:t>
      </w:r>
    </w:p>
    <w:p w14:paraId="328514CE">
      <w:pPr>
        <w:pStyle w:val="24"/>
        <w:rPr>
          <w:highlight w:val="none"/>
        </w:rPr>
      </w:pPr>
      <w:r>
        <w:rPr>
          <w:rFonts w:hint="eastAsia"/>
          <w:highlight w:val="none"/>
        </w:rPr>
        <w:t>本文件主要起草人：王纯玉、耿英芝、</w:t>
      </w:r>
      <w:r>
        <w:rPr>
          <w:rFonts w:hint="eastAsia"/>
          <w:highlight w:val="none"/>
          <w:lang w:val="en-US" w:eastAsia="zh-CN"/>
        </w:rPr>
        <w:t>张宇、刘小波、</w:t>
      </w:r>
      <w:r>
        <w:rPr>
          <w:rFonts w:hint="eastAsia"/>
          <w:highlight w:val="none"/>
        </w:rPr>
        <w:t>张倩、王禹霏、丁俊。</w:t>
      </w:r>
    </w:p>
    <w:p w14:paraId="40CC8660">
      <w:pPr>
        <w:pStyle w:val="24"/>
        <w:rPr>
          <w:highlight w:val="none"/>
        </w:rPr>
      </w:pPr>
      <w:r>
        <w:rPr>
          <w:rFonts w:hint="eastAsia"/>
          <w:highlight w:val="none"/>
        </w:rPr>
        <w:t>本文件发布实施后，任何单位和个人如有问题和意见建议，均可以通过来电和来函等方式进行反馈，我们将及时答复并认真处理，根据实际情况依法进行评估及复审。</w:t>
      </w:r>
    </w:p>
    <w:p w14:paraId="0F86AB4D">
      <w:pPr>
        <w:pStyle w:val="24"/>
        <w:rPr>
          <w:rFonts w:hint="eastAsia" w:eastAsia="宋体"/>
          <w:lang w:eastAsia="zh-CN"/>
        </w:rPr>
      </w:pPr>
      <w:r>
        <w:rPr>
          <w:rFonts w:hint="eastAsia"/>
        </w:rPr>
        <w:t>归口管理部门通讯地址：辽宁省沈阳市和平区太原北街2号</w:t>
      </w:r>
      <w:r>
        <w:rPr>
          <w:rFonts w:hint="eastAsia"/>
          <w:lang w:eastAsia="zh-CN"/>
        </w:rPr>
        <w:t>，联系电话：024-23991029。</w:t>
      </w:r>
    </w:p>
    <w:p w14:paraId="09578D2F">
      <w:pPr>
        <w:pStyle w:val="24"/>
        <w:rPr>
          <w:highlight w:val="none"/>
        </w:rPr>
        <w:sectPr>
          <w:headerReference r:id="rId4" w:type="default"/>
          <w:footerReference r:id="rId5"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r>
        <w:rPr>
          <w:rFonts w:hint="eastAsia"/>
        </w:rPr>
        <w:t>文件起草单位通讯地址：辽宁省沈阳市浑南区金枫街168号，联系电话：024-23371259</w:t>
      </w:r>
      <w:r>
        <w:rPr>
          <w:rFonts w:hint="eastAsia"/>
          <w:highlight w:val="none"/>
        </w:rPr>
        <w:t>。</w:t>
      </w:r>
    </w:p>
    <w:p w14:paraId="1E2EB483">
      <w:pPr>
        <w:pStyle w:val="53"/>
        <w:rPr>
          <w:highlight w:val="none"/>
        </w:rPr>
      </w:pPr>
      <w:r>
        <w:rPr>
          <w:rFonts w:hint="eastAsia"/>
          <w:highlight w:val="none"/>
        </w:rPr>
        <w:t>媒介生物综合管理技术规范 蚊虫防制</w:t>
      </w:r>
    </w:p>
    <w:p w14:paraId="34881E34">
      <w:pPr>
        <w:pStyle w:val="48"/>
        <w:spacing w:before="312" w:after="312"/>
        <w:rPr>
          <w:highlight w:val="none"/>
        </w:rPr>
      </w:pPr>
      <w:r>
        <w:rPr>
          <w:rFonts w:hint="eastAsia"/>
          <w:highlight w:val="none"/>
        </w:rPr>
        <w:t>范围</w:t>
      </w:r>
    </w:p>
    <w:p w14:paraId="7D7758E8">
      <w:pPr>
        <w:pStyle w:val="24"/>
      </w:pPr>
      <w:r>
        <w:rPr>
          <w:rFonts w:hint="eastAsia"/>
        </w:rPr>
        <w:t>本文件规定了</w:t>
      </w:r>
      <w:r>
        <w:rPr>
          <w:rFonts w:hint="eastAsia"/>
          <w:lang w:eastAsia="zh-CN"/>
        </w:rPr>
        <w:t>蚊虫</w:t>
      </w:r>
      <w:r>
        <w:rPr>
          <w:rFonts w:hint="eastAsia"/>
        </w:rPr>
        <w:t>防制相关的</w:t>
      </w:r>
      <w:r>
        <w:rPr>
          <w:rFonts w:hint="eastAsia"/>
          <w:lang w:eastAsia="zh-CN"/>
        </w:rPr>
        <w:t>基本要求、密度调查与评估方法、防制措施、</w:t>
      </w:r>
      <w:r>
        <w:rPr>
          <w:rFonts w:hint="eastAsia" w:ascii="宋体" w:eastAsia="宋体"/>
          <w:sz w:val="21"/>
          <w:lang w:val="en-US" w:eastAsia="zh-CN" w:bidi="ar-SA"/>
        </w:rPr>
        <w:t>防制效果评价</w:t>
      </w:r>
      <w:r>
        <w:rPr>
          <w:rFonts w:hint="eastAsia"/>
          <w:lang w:eastAsia="zh-CN"/>
        </w:rPr>
        <w:t>和</w:t>
      </w:r>
      <w:r>
        <w:rPr>
          <w:rFonts w:hint="eastAsia" w:ascii="宋体" w:eastAsia="宋体"/>
          <w:sz w:val="21"/>
          <w:lang w:val="en-US" w:eastAsia="zh-CN" w:bidi="ar-SA"/>
        </w:rPr>
        <w:t>化学防制</w:t>
      </w:r>
      <w:r>
        <w:rPr>
          <w:rFonts w:hint="eastAsia"/>
          <w:lang w:eastAsia="zh-CN"/>
        </w:rPr>
        <w:t>注意事项</w:t>
      </w:r>
      <w:r>
        <w:rPr>
          <w:rFonts w:hint="eastAsia"/>
        </w:rPr>
        <w:t>。</w:t>
      </w:r>
    </w:p>
    <w:p w14:paraId="217CC5E7">
      <w:pPr>
        <w:pStyle w:val="24"/>
      </w:pPr>
      <w:r>
        <w:rPr>
          <w:rFonts w:hint="eastAsia"/>
        </w:rPr>
        <w:t>本文件适用于</w:t>
      </w:r>
      <w:r>
        <w:rPr>
          <w:rFonts w:hint="eastAsia"/>
          <w:lang w:eastAsia="zh-CN"/>
        </w:rPr>
        <w:t>各类场所蚊虫</w:t>
      </w:r>
      <w:r>
        <w:rPr>
          <w:rFonts w:hint="eastAsia"/>
        </w:rPr>
        <w:t>的</w:t>
      </w:r>
      <w:r>
        <w:rPr>
          <w:rFonts w:hint="eastAsia"/>
          <w:lang w:eastAsia="zh-CN"/>
        </w:rPr>
        <w:t>预防和控制行为</w:t>
      </w:r>
      <w:r>
        <w:rPr>
          <w:rFonts w:hint="eastAsia"/>
        </w:rPr>
        <w:t>。</w:t>
      </w:r>
    </w:p>
    <w:p w14:paraId="42B64AA4">
      <w:pPr>
        <w:pStyle w:val="48"/>
        <w:spacing w:before="312" w:after="312"/>
        <w:rPr>
          <w:highlight w:val="none"/>
        </w:rPr>
      </w:pPr>
      <w:r>
        <w:rPr>
          <w:rFonts w:hint="eastAsia"/>
          <w:highlight w:val="none"/>
        </w:rPr>
        <w:t>规范性引用文件</w:t>
      </w:r>
    </w:p>
    <w:p w14:paraId="2D556C31">
      <w:pPr>
        <w:pStyle w:val="24"/>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w:t>
      </w:r>
      <w:r>
        <w:rPr>
          <w:rFonts w:hint="eastAsia"/>
          <w:highlight w:val="none"/>
          <w:lang w:eastAsia="zh-CN"/>
        </w:rPr>
        <w:t>（</w:t>
      </w:r>
      <w:r>
        <w:rPr>
          <w:rFonts w:hint="eastAsia"/>
          <w:highlight w:val="none"/>
        </w:rPr>
        <w:t>包括所有的修改单</w:t>
      </w:r>
      <w:r>
        <w:rPr>
          <w:rFonts w:hint="eastAsia"/>
          <w:highlight w:val="none"/>
          <w:lang w:eastAsia="zh-CN"/>
        </w:rPr>
        <w:t>）</w:t>
      </w:r>
      <w:r>
        <w:rPr>
          <w:rFonts w:hint="eastAsia"/>
          <w:highlight w:val="none"/>
        </w:rPr>
        <w:t>适用于本文件。</w:t>
      </w:r>
    </w:p>
    <w:p w14:paraId="72715A93">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GB/T 23797  病媒生物密度监测方法 蚊虫</w:t>
      </w:r>
    </w:p>
    <w:p w14:paraId="4A88F149">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GB/T 27771  病媒生物密度控制水平 蚊虫</w:t>
      </w:r>
    </w:p>
    <w:p w14:paraId="1800A2D8">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GB/T 31714  病媒生物化学防</w:t>
      </w:r>
      <w:r>
        <w:rPr>
          <w:rFonts w:hint="eastAsia" w:ascii="宋体"/>
          <w:sz w:val="21"/>
          <w:lang w:val="en-US" w:eastAsia="zh-CN" w:bidi="ar-SA"/>
        </w:rPr>
        <w:t>治</w:t>
      </w:r>
      <w:r>
        <w:rPr>
          <w:rFonts w:hint="eastAsia" w:ascii="宋体" w:eastAsia="宋体"/>
          <w:sz w:val="21"/>
          <w:lang w:val="en-US" w:eastAsia="zh-CN" w:bidi="ar-SA"/>
        </w:rPr>
        <w:t>技术指南 空间喷雾</w:t>
      </w:r>
    </w:p>
    <w:p w14:paraId="0C3C7BF1">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GB/T 31715  病媒生物化学防</w:t>
      </w:r>
      <w:r>
        <w:rPr>
          <w:rFonts w:hint="eastAsia" w:ascii="宋体"/>
          <w:sz w:val="21"/>
          <w:lang w:val="en-US" w:eastAsia="zh-CN" w:bidi="ar-SA"/>
        </w:rPr>
        <w:t>治</w:t>
      </w:r>
      <w:r>
        <w:rPr>
          <w:rFonts w:hint="eastAsia" w:ascii="宋体" w:eastAsia="宋体"/>
          <w:sz w:val="21"/>
          <w:lang w:val="en-US" w:eastAsia="zh-CN" w:bidi="ar-SA"/>
        </w:rPr>
        <w:t>技术指南 滞留喷洒</w:t>
      </w:r>
    </w:p>
    <w:p w14:paraId="05039CBF">
      <w:pPr>
        <w:autoSpaceDE w:val="0"/>
        <w:autoSpaceDN w:val="0"/>
        <w:ind w:firstLine="420" w:firstLineChars="200"/>
        <w:jc w:val="both"/>
        <w:rPr>
          <w:rFonts w:hint="eastAsia" w:ascii="宋体" w:eastAsia="宋体"/>
          <w:sz w:val="21"/>
          <w:lang w:val="en-US" w:eastAsia="zh-CN" w:bidi="ar-SA"/>
        </w:rPr>
      </w:pPr>
      <w:r>
        <w:rPr>
          <w:rFonts w:hint="eastAsia" w:ascii="宋体" w:eastAsia="宋体"/>
          <w:sz w:val="21"/>
          <w:lang w:val="en-US" w:eastAsia="zh-CN" w:bidi="ar-SA"/>
        </w:rPr>
        <w:t>GB/T 31717  病媒生物综合管理技术规范 环境治理 蚊虫</w:t>
      </w:r>
    </w:p>
    <w:p w14:paraId="1D40896F">
      <w:pPr>
        <w:autoSpaceDE w:val="0"/>
        <w:autoSpaceDN w:val="0"/>
        <w:ind w:firstLine="420" w:firstLineChars="200"/>
        <w:jc w:val="both"/>
        <w:rPr>
          <w:rFonts w:hint="eastAsia"/>
          <w:highlight w:val="none"/>
        </w:rPr>
      </w:pPr>
      <w:r>
        <w:rPr>
          <w:rFonts w:hint="eastAsia" w:ascii="宋体" w:eastAsia="宋体"/>
          <w:sz w:val="21"/>
          <w:lang w:val="en-US" w:eastAsia="zh-CN" w:bidi="ar-SA"/>
        </w:rPr>
        <w:t>WS/T 832  蚊虫化学</w:t>
      </w:r>
      <w:r>
        <w:rPr>
          <w:rFonts w:hint="eastAsia" w:ascii="宋体"/>
          <w:sz w:val="21"/>
          <w:lang w:val="en-US" w:eastAsia="zh-CN" w:bidi="ar-SA"/>
        </w:rPr>
        <w:t>防治</w:t>
      </w:r>
      <w:r>
        <w:rPr>
          <w:rFonts w:hint="eastAsia" w:ascii="宋体" w:eastAsia="宋体"/>
          <w:sz w:val="21"/>
          <w:lang w:val="en-US" w:eastAsia="zh-CN" w:bidi="ar-SA"/>
        </w:rPr>
        <w:t>技术标准</w:t>
      </w:r>
    </w:p>
    <w:p w14:paraId="1203CA8F">
      <w:pPr>
        <w:pStyle w:val="48"/>
        <w:spacing w:before="312" w:after="312"/>
        <w:rPr>
          <w:highlight w:val="none"/>
        </w:rPr>
      </w:pPr>
      <w:bookmarkStart w:id="1" w:name="_Toc345420705"/>
      <w:bookmarkStart w:id="2" w:name="_Toc345422219"/>
      <w:bookmarkStart w:id="3" w:name="_Toc349832796"/>
      <w:bookmarkStart w:id="4" w:name="_Toc349832857"/>
      <w:bookmarkStart w:id="5" w:name="_Toc349832908"/>
      <w:bookmarkStart w:id="6" w:name="_Toc349832828"/>
      <w:bookmarkStart w:id="7" w:name="_Toc349832637"/>
      <w:bookmarkStart w:id="8" w:name="_Toc344283575"/>
      <w:bookmarkStart w:id="9" w:name="_Toc344283686"/>
      <w:bookmarkStart w:id="10" w:name="_Toc345420752"/>
      <w:bookmarkStart w:id="11" w:name="_Toc345420641"/>
      <w:r>
        <w:rPr>
          <w:rFonts w:hint="eastAsia"/>
          <w:highlight w:val="none"/>
        </w:rPr>
        <w:t>术语和定义</w:t>
      </w:r>
      <w:bookmarkEnd w:id="1"/>
      <w:bookmarkEnd w:id="2"/>
      <w:bookmarkEnd w:id="3"/>
      <w:bookmarkEnd w:id="4"/>
      <w:bookmarkEnd w:id="5"/>
      <w:bookmarkEnd w:id="6"/>
      <w:bookmarkEnd w:id="7"/>
      <w:bookmarkEnd w:id="8"/>
      <w:bookmarkEnd w:id="9"/>
      <w:bookmarkEnd w:id="10"/>
      <w:bookmarkEnd w:id="11"/>
    </w:p>
    <w:p w14:paraId="476B57B6">
      <w:pPr>
        <w:pStyle w:val="24"/>
        <w:keepNext w:val="0"/>
        <w:keepLines w:val="0"/>
        <w:pageBreakBefore w:val="0"/>
        <w:widowControl/>
        <w:kinsoku/>
        <w:wordWrap/>
        <w:overflowPunct/>
        <w:topLinePunct w:val="0"/>
        <w:autoSpaceDE w:val="0"/>
        <w:autoSpaceDN w:val="0"/>
        <w:bidi w:val="0"/>
        <w:adjustRightInd/>
        <w:snapToGrid/>
        <w:spacing w:after="313" w:afterLines="100"/>
        <w:textAlignment w:val="auto"/>
        <w:rPr>
          <w:rFonts w:hint="eastAsia" w:ascii="宋体" w:eastAsia="宋体"/>
          <w:sz w:val="21"/>
          <w:lang w:val="en-US" w:eastAsia="zh-CN" w:bidi="ar-SA"/>
        </w:rPr>
      </w:pPr>
      <w:bookmarkStart w:id="12" w:name="_Toc344283687"/>
      <w:bookmarkStart w:id="13" w:name="_Toc349832638"/>
      <w:bookmarkStart w:id="14" w:name="_Toc345420706"/>
      <w:bookmarkStart w:id="15" w:name="_Toc345422220"/>
      <w:bookmarkStart w:id="16" w:name="_Toc349832858"/>
      <w:bookmarkStart w:id="17" w:name="_Toc349832909"/>
      <w:bookmarkStart w:id="18" w:name="_Toc349832797"/>
      <w:bookmarkStart w:id="19" w:name="_Toc349832829"/>
      <w:bookmarkStart w:id="20" w:name="_Toc345420642"/>
      <w:bookmarkStart w:id="21" w:name="_Toc345420753"/>
      <w:bookmarkStart w:id="22" w:name="_Toc344283576"/>
      <w:r>
        <w:rPr>
          <w:rFonts w:hint="eastAsia"/>
          <w:highlight w:val="none"/>
        </w:rPr>
        <w:t>下列术语和定义适用于本文件。</w:t>
      </w:r>
      <w:bookmarkEnd w:id="12"/>
      <w:bookmarkEnd w:id="13"/>
      <w:bookmarkEnd w:id="14"/>
      <w:bookmarkEnd w:id="15"/>
      <w:bookmarkEnd w:id="16"/>
      <w:bookmarkEnd w:id="17"/>
      <w:bookmarkEnd w:id="18"/>
      <w:bookmarkEnd w:id="19"/>
      <w:bookmarkEnd w:id="20"/>
      <w:bookmarkEnd w:id="21"/>
      <w:bookmarkEnd w:id="22"/>
      <w:bookmarkStart w:id="23" w:name="_Toc349832860"/>
      <w:bookmarkStart w:id="24" w:name="_Toc345420644"/>
      <w:bookmarkStart w:id="25" w:name="_Toc349832799"/>
      <w:bookmarkStart w:id="26" w:name="_Toc344283578"/>
    </w:p>
    <w:p w14:paraId="1850F616">
      <w:pPr>
        <w:pStyle w:val="45"/>
        <w:numPr>
          <w:ilvl w:val="1"/>
          <w:numId w:val="0"/>
        </w:numPr>
        <w:spacing w:before="156" w:after="156"/>
      </w:pPr>
      <w:r>
        <w:rPr>
          <w:rFonts w:hint="eastAsia"/>
          <w:color w:val="000000"/>
        </w:rPr>
        <w:t>3.</w:t>
      </w:r>
      <w:r>
        <w:rPr>
          <w:rFonts w:hint="eastAsia"/>
          <w:color w:val="000000"/>
          <w:lang w:val="en-US" w:eastAsia="zh-CN"/>
        </w:rPr>
        <w:t>1</w:t>
      </w:r>
      <w:r>
        <w:rPr>
          <w:rFonts w:hint="eastAsia"/>
          <w:color w:val="000000"/>
        </w:rPr>
        <w:t>　</w:t>
      </w:r>
    </w:p>
    <w:p w14:paraId="18980C4A">
      <w:pPr>
        <w:pStyle w:val="45"/>
        <w:numPr>
          <w:ilvl w:val="0"/>
          <w:numId w:val="0"/>
        </w:numPr>
        <w:spacing w:before="156" w:after="156"/>
        <w:ind w:firstLine="420" w:firstLineChars="200"/>
        <w:rPr>
          <w:rFonts w:hint="eastAsia"/>
        </w:rPr>
      </w:pPr>
      <w:r>
        <w:rPr>
          <w:rFonts w:hint="eastAsia"/>
        </w:rPr>
        <w:t>防蚊设施 mosquito proof facilities</w:t>
      </w:r>
    </w:p>
    <w:p w14:paraId="314F0ABF">
      <w:pPr>
        <w:pStyle w:val="24"/>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预防蚊虫进入人群居住或活动的环境以及防止蚊虫孳生繁殖和人被叮咬或骚扰的特殊结构或装置</w:t>
      </w:r>
      <w:r>
        <w:rPr>
          <w:rFonts w:hint="eastAsia" w:ascii="宋体" w:eastAsia="宋体" w:cs="Times New Roman"/>
          <w:sz w:val="21"/>
          <w:szCs w:val="20"/>
          <w:lang w:val="en-US" w:eastAsia="zh-CN" w:bidi="ar-SA"/>
        </w:rPr>
        <w:t>，</w:t>
      </w:r>
      <w:r>
        <w:rPr>
          <w:rFonts w:hint="eastAsia" w:ascii="宋体" w:hAnsi="Times New Roman" w:eastAsia="宋体" w:cs="Times New Roman"/>
          <w:sz w:val="21"/>
          <w:szCs w:val="20"/>
          <w:lang w:val="en-US" w:eastAsia="zh-CN" w:bidi="ar-SA"/>
        </w:rPr>
        <w:t>常见包括纱门、纱窗等。</w:t>
      </w:r>
    </w:p>
    <w:p w14:paraId="5B3DC3DE">
      <w:pPr>
        <w:pStyle w:val="45"/>
        <w:numPr>
          <w:ilvl w:val="1"/>
          <w:numId w:val="0"/>
        </w:numPr>
        <w:spacing w:before="156" w:after="156"/>
        <w:rPr>
          <w:rFonts w:hint="eastAsia" w:eastAsia="黑体"/>
          <w:color w:val="000000"/>
          <w:lang w:val="en-US" w:eastAsia="zh-CN"/>
        </w:rPr>
      </w:pPr>
      <w:r>
        <w:rPr>
          <w:rFonts w:hint="eastAsia"/>
          <w:color w:val="000000"/>
        </w:rPr>
        <w:t>3.</w:t>
      </w:r>
      <w:r>
        <w:rPr>
          <w:rFonts w:hint="eastAsia"/>
          <w:color w:val="000000"/>
          <w:lang w:val="en-US" w:eastAsia="zh-CN"/>
        </w:rPr>
        <w:t>2</w:t>
      </w:r>
      <w:r>
        <w:rPr>
          <w:rFonts w:hint="eastAsia"/>
          <w:color w:val="000000"/>
        </w:rPr>
        <w:t>　</w:t>
      </w:r>
    </w:p>
    <w:p w14:paraId="413BED5F">
      <w:pPr>
        <w:pStyle w:val="45"/>
        <w:numPr>
          <w:ilvl w:val="0"/>
          <w:numId w:val="0"/>
        </w:numPr>
        <w:spacing w:before="156" w:after="156"/>
        <w:ind w:firstLine="420" w:firstLineChars="200"/>
      </w:pPr>
      <w:r>
        <w:rPr>
          <w:rFonts w:hint="eastAsia"/>
        </w:rPr>
        <w:t>蚊虫孳生地 mosquito breeding sites</w:t>
      </w:r>
    </w:p>
    <w:p w14:paraId="62DEE12A">
      <w:pPr>
        <w:pStyle w:val="24"/>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适合蚊虫产卵和幼虫生长繁殖的场所。</w:t>
      </w:r>
    </w:p>
    <w:bookmarkEnd w:id="23"/>
    <w:bookmarkEnd w:id="24"/>
    <w:bookmarkEnd w:id="25"/>
    <w:bookmarkEnd w:id="26"/>
    <w:p w14:paraId="7D79B2B5">
      <w:pPr>
        <w:pStyle w:val="48"/>
        <w:numPr>
          <w:ilvl w:val="0"/>
          <w:numId w:val="0"/>
        </w:numPr>
        <w:spacing w:before="312" w:after="312"/>
        <w:rPr>
          <w:rFonts w:hint="eastAsia"/>
          <w:szCs w:val="21"/>
          <w:lang w:val="en-US" w:eastAsia="zh-CN"/>
        </w:rPr>
      </w:pPr>
      <w:r>
        <w:rPr>
          <w:rFonts w:hint="eastAsia"/>
          <w:szCs w:val="21"/>
          <w:lang w:val="en-US" w:eastAsia="zh-CN"/>
        </w:rPr>
        <w:t>3.3</w:t>
      </w:r>
      <w:r>
        <w:rPr>
          <w:rFonts w:hint="eastAsia"/>
          <w:color w:val="000000"/>
        </w:rPr>
        <w:t>　</w:t>
      </w:r>
    </w:p>
    <w:p w14:paraId="7F2E8579">
      <w:pPr>
        <w:pStyle w:val="45"/>
        <w:numPr>
          <w:ilvl w:val="0"/>
          <w:numId w:val="0"/>
        </w:numPr>
        <w:spacing w:before="156" w:after="156"/>
        <w:ind w:firstLine="420" w:firstLineChars="200"/>
        <w:rPr>
          <w:rFonts w:hint="default" w:eastAsia="黑体"/>
          <w:lang w:val="en-US" w:eastAsia="zh-CN"/>
        </w:rPr>
      </w:pPr>
      <w:r>
        <w:rPr>
          <w:rFonts w:hint="eastAsia"/>
          <w:lang w:eastAsia="zh-CN"/>
        </w:rPr>
        <w:t>阳性积水</w:t>
      </w:r>
      <w:r>
        <w:rPr>
          <w:rFonts w:hint="eastAsia"/>
        </w:rPr>
        <w:t xml:space="preserve"> </w:t>
      </w:r>
      <w:r>
        <w:rPr>
          <w:rFonts w:hint="eastAsia"/>
          <w:lang w:val="en-US" w:eastAsia="zh-CN"/>
        </w:rPr>
        <w:t>positive water</w:t>
      </w:r>
    </w:p>
    <w:p w14:paraId="30107BB5">
      <w:pPr>
        <w:pStyle w:val="24"/>
        <w:rPr>
          <w:rFonts w:hint="eastAsia" w:ascii="宋体" w:hAnsi="Times New Roman" w:eastAsia="宋体" w:cs="Times New Roman"/>
          <w:sz w:val="21"/>
          <w:szCs w:val="20"/>
          <w:lang w:val="en-US" w:eastAsia="zh-CN" w:bidi="ar-SA"/>
        </w:rPr>
      </w:pPr>
      <w:r>
        <w:rPr>
          <w:rFonts w:hint="eastAsia" w:ascii="宋体" w:eastAsia="宋体" w:cs="Times New Roman"/>
          <w:sz w:val="21"/>
          <w:szCs w:val="20"/>
          <w:lang w:val="en-US" w:eastAsia="zh-CN" w:bidi="ar-SA"/>
        </w:rPr>
        <w:t>有蚊虫的卵、幼虫或蛹的积水</w:t>
      </w:r>
      <w:r>
        <w:rPr>
          <w:rFonts w:hint="eastAsia" w:ascii="宋体" w:hAnsi="Times New Roman" w:eastAsia="宋体" w:cs="Times New Roman"/>
          <w:sz w:val="21"/>
          <w:szCs w:val="20"/>
          <w:lang w:val="en-US" w:eastAsia="zh-CN" w:bidi="ar-SA"/>
        </w:rPr>
        <w:t>。</w:t>
      </w:r>
    </w:p>
    <w:p w14:paraId="4FD5679B">
      <w:pPr>
        <w:pStyle w:val="45"/>
        <w:numPr>
          <w:ilvl w:val="1"/>
          <w:numId w:val="0"/>
        </w:numPr>
        <w:spacing w:before="156" w:after="156"/>
        <w:rPr>
          <w:rFonts w:hint="eastAsia" w:eastAsia="黑体"/>
          <w:color w:val="000000"/>
          <w:lang w:val="en-US" w:eastAsia="zh-CN"/>
        </w:rPr>
      </w:pPr>
      <w:r>
        <w:rPr>
          <w:rFonts w:hint="eastAsia"/>
          <w:color w:val="000000"/>
        </w:rPr>
        <w:t>3.</w:t>
      </w:r>
      <w:r>
        <w:rPr>
          <w:rFonts w:hint="eastAsia"/>
          <w:color w:val="000000"/>
          <w:lang w:val="en-US" w:eastAsia="zh-CN"/>
        </w:rPr>
        <w:t>4</w:t>
      </w:r>
      <w:r>
        <w:rPr>
          <w:rFonts w:hint="eastAsia"/>
          <w:color w:val="000000"/>
        </w:rPr>
        <w:t>　</w:t>
      </w:r>
    </w:p>
    <w:p w14:paraId="1D846FA4">
      <w:pPr>
        <w:pStyle w:val="45"/>
        <w:numPr>
          <w:ilvl w:val="0"/>
          <w:numId w:val="0"/>
        </w:numPr>
        <w:spacing w:before="156" w:after="156"/>
        <w:ind w:firstLine="420" w:firstLineChars="200"/>
      </w:pPr>
      <w:r>
        <w:t>环境治理 environmental management</w:t>
      </w:r>
    </w:p>
    <w:p w14:paraId="41039710">
      <w:pPr>
        <w:pStyle w:val="45"/>
        <w:numPr>
          <w:ilvl w:val="0"/>
          <w:numId w:val="0"/>
        </w:numPr>
        <w:spacing w:before="156" w:after="156"/>
        <w:ind w:firstLine="420" w:firstLineChars="200"/>
        <w:rPr>
          <w:highlight w:val="none"/>
        </w:rPr>
      </w:pPr>
      <w:r>
        <w:rPr>
          <w:rFonts w:hint="eastAsia" w:ascii="宋体" w:hAnsi="Times New Roman" w:eastAsia="宋体" w:cs="Times New Roman"/>
          <w:sz w:val="21"/>
          <w:szCs w:val="20"/>
          <w:lang w:val="en-US" w:eastAsia="zh-CN" w:bidi="ar-SA"/>
        </w:rPr>
        <w:t>为了防止或预防</w:t>
      </w:r>
      <w:r>
        <w:rPr>
          <w:rFonts w:hint="eastAsia" w:ascii="宋体" w:eastAsia="宋体" w:cs="Times New Roman"/>
          <w:sz w:val="21"/>
          <w:szCs w:val="20"/>
          <w:lang w:val="en-US" w:eastAsia="zh-CN" w:bidi="ar-SA"/>
        </w:rPr>
        <w:t>蚊虫</w:t>
      </w:r>
      <w:r>
        <w:rPr>
          <w:rFonts w:hint="eastAsia" w:ascii="宋体" w:hAnsi="Times New Roman" w:eastAsia="宋体" w:cs="Times New Roman"/>
          <w:sz w:val="21"/>
          <w:szCs w:val="20"/>
          <w:lang w:val="en-US" w:eastAsia="zh-CN" w:bidi="ar-SA"/>
        </w:rPr>
        <w:t>繁殖，或减少其繁殖程度，以及减少人与其接触，而对环境因素及其与人类的相互作用的改造和</w:t>
      </w:r>
      <w:r>
        <w:rPr>
          <w:rFonts w:hint="eastAsia" w:ascii="宋体" w:eastAsia="宋体" w:cs="Times New Roman"/>
          <w:sz w:val="21"/>
          <w:szCs w:val="20"/>
          <w:lang w:val="en-US" w:eastAsia="zh-CN" w:bidi="ar-SA"/>
        </w:rPr>
        <w:t>（</w:t>
      </w:r>
      <w:r>
        <w:rPr>
          <w:rFonts w:hint="eastAsia" w:ascii="宋体" w:hAnsi="Times New Roman" w:eastAsia="宋体" w:cs="Times New Roman"/>
          <w:sz w:val="21"/>
          <w:szCs w:val="20"/>
          <w:lang w:val="en-US" w:eastAsia="zh-CN" w:bidi="ar-SA"/>
        </w:rPr>
        <w:t>或</w:t>
      </w:r>
      <w:r>
        <w:rPr>
          <w:rFonts w:hint="eastAsia" w:ascii="宋体" w:eastAsia="宋体" w:cs="Times New Roman"/>
          <w:sz w:val="21"/>
          <w:szCs w:val="20"/>
          <w:lang w:val="en-US" w:eastAsia="zh-CN" w:bidi="ar-SA"/>
        </w:rPr>
        <w:t>）</w:t>
      </w:r>
      <w:r>
        <w:rPr>
          <w:rFonts w:hint="eastAsia" w:ascii="宋体" w:hAnsi="Times New Roman" w:eastAsia="宋体" w:cs="Times New Roman"/>
          <w:sz w:val="21"/>
          <w:szCs w:val="20"/>
          <w:lang w:val="en-US" w:eastAsia="zh-CN" w:bidi="ar-SA"/>
        </w:rPr>
        <w:t>处理，而进行的设计、组织、实施和监测。</w:t>
      </w:r>
    </w:p>
    <w:p w14:paraId="3D8F1646">
      <w:pPr>
        <w:pStyle w:val="48"/>
        <w:spacing w:before="312" w:after="312"/>
        <w:rPr>
          <w:highlight w:val="none"/>
        </w:rPr>
      </w:pPr>
      <w:r>
        <w:rPr>
          <w:rFonts w:hint="eastAsia"/>
          <w:highlight w:val="none"/>
          <w:lang w:eastAsia="zh-CN"/>
        </w:rPr>
        <w:t>基本要求</w:t>
      </w:r>
    </w:p>
    <w:p w14:paraId="48069E08">
      <w:pPr>
        <w:pStyle w:val="24"/>
        <w:rPr>
          <w:highlight w:val="none"/>
        </w:rPr>
      </w:pPr>
      <w:r>
        <w:rPr>
          <w:rFonts w:hint="eastAsia"/>
          <w:highlight w:val="none"/>
        </w:rPr>
        <w:t>遵循综合防制原则，以环境治理为主，物理防制和生物防制优先、化学防制为辅。</w:t>
      </w:r>
    </w:p>
    <w:p w14:paraId="77ED4112">
      <w:pPr>
        <w:pStyle w:val="48"/>
        <w:spacing w:before="312" w:after="312"/>
        <w:rPr>
          <w:highlight w:val="none"/>
        </w:rPr>
      </w:pPr>
      <w:r>
        <w:rPr>
          <w:rFonts w:hint="eastAsia"/>
          <w:highlight w:val="none"/>
        </w:rPr>
        <w:t>密度调查</w:t>
      </w:r>
      <w:r>
        <w:rPr>
          <w:rFonts w:hint="eastAsia"/>
          <w:highlight w:val="none"/>
          <w:lang w:eastAsia="zh-CN"/>
        </w:rPr>
        <w:t>与评估方法</w:t>
      </w:r>
    </w:p>
    <w:p w14:paraId="71D691C3">
      <w:pPr>
        <w:pStyle w:val="45"/>
        <w:spacing w:before="156" w:after="156"/>
        <w:rPr>
          <w:highlight w:val="none"/>
        </w:rPr>
      </w:pPr>
      <w:bookmarkStart w:id="27" w:name="_Toc345420708"/>
      <w:bookmarkStart w:id="28" w:name="_Toc345420755"/>
      <w:bookmarkStart w:id="29" w:name="_Toc344283580"/>
      <w:bookmarkStart w:id="30" w:name="_Toc345422222"/>
      <w:bookmarkStart w:id="31" w:name="_Toc349832911"/>
      <w:bookmarkStart w:id="32" w:name="_Toc349832801"/>
      <w:bookmarkStart w:id="33" w:name="_Toc344283689"/>
      <w:bookmarkStart w:id="34" w:name="_Toc349832862"/>
      <w:bookmarkStart w:id="35" w:name="_Toc349832831"/>
      <w:bookmarkStart w:id="36" w:name="_Toc349832640"/>
      <w:bookmarkStart w:id="37" w:name="_Toc345420646"/>
      <w:r>
        <w:rPr>
          <w:rFonts w:hint="eastAsia"/>
          <w:highlight w:val="none"/>
          <w:lang w:eastAsia="zh-CN"/>
        </w:rPr>
        <w:t>调查与评估</w:t>
      </w:r>
    </w:p>
    <w:p w14:paraId="40CA038B">
      <w:pPr>
        <w:pStyle w:val="24"/>
        <w:rPr>
          <w:rFonts w:hint="eastAsia" w:eastAsia="宋体"/>
          <w:highlight w:val="none"/>
          <w:lang w:eastAsia="zh-CN"/>
        </w:rPr>
      </w:pPr>
      <w:r>
        <w:rPr>
          <w:rFonts w:hint="eastAsia"/>
          <w:highlight w:val="none"/>
          <w:lang w:eastAsia="zh-CN"/>
        </w:rPr>
        <w:t>需要定期对蚊虫进行监测调查和评估，了解蚊虫的分布和密度。</w:t>
      </w:r>
    </w:p>
    <w:p w14:paraId="27E8A917">
      <w:pPr>
        <w:pStyle w:val="45"/>
        <w:spacing w:before="156" w:after="156"/>
        <w:rPr>
          <w:highlight w:val="none"/>
        </w:rPr>
      </w:pPr>
      <w:r>
        <w:rPr>
          <w:rFonts w:hint="eastAsia"/>
          <w:highlight w:val="none"/>
          <w:lang w:eastAsia="zh-CN"/>
        </w:rPr>
        <w:t>密度调查方法</w:t>
      </w:r>
    </w:p>
    <w:p w14:paraId="02004B1D">
      <w:pPr>
        <w:pStyle w:val="49"/>
        <w:bidi w:val="0"/>
        <w:ind w:left="0" w:leftChars="0" w:firstLine="0" w:firstLineChars="0"/>
        <w:rPr>
          <w:rFonts w:hint="eastAsia"/>
          <w:highlight w:val="none"/>
        </w:rPr>
      </w:pPr>
      <w:r>
        <w:rPr>
          <w:rFonts w:hint="eastAsia"/>
          <w:highlight w:val="none"/>
          <w:lang w:val="en-US" w:eastAsia="zh-CN"/>
        </w:rPr>
        <w:t>成蚊</w:t>
      </w:r>
      <w:r>
        <w:rPr>
          <w:rFonts w:hint="eastAsia"/>
          <w:highlight w:val="none"/>
          <w:lang w:eastAsia="zh-CN"/>
        </w:rPr>
        <w:t>调查方法</w:t>
      </w:r>
    </w:p>
    <w:p w14:paraId="2F426BCF">
      <w:pPr>
        <w:pStyle w:val="49"/>
        <w:numPr>
          <w:ilvl w:val="-1"/>
          <w:numId w:val="0"/>
        </w:numPr>
        <w:bidi w:val="0"/>
        <w:ind w:left="0" w:leftChars="0" w:firstLine="0" w:firstLineChars="0"/>
        <w:rPr>
          <w:rFonts w:hint="eastAsia"/>
          <w:highlight w:val="none"/>
        </w:rPr>
      </w:pPr>
      <w:r>
        <w:rPr>
          <w:rFonts w:hint="default" w:cs="Times New Roman"/>
          <w:sz w:val="21"/>
          <w:szCs w:val="21"/>
          <w:lang w:val="en-US" w:eastAsia="zh-CN" w:bidi="ar-SA"/>
        </w:rPr>
        <w:t>5.2.1.1</w:t>
      </w:r>
      <w:r>
        <w:rPr>
          <w:rFonts w:hint="eastAsia" w:ascii="黑体" w:hAnsi="黑体" w:eastAsia="黑体" w:cs="Times New Roman"/>
          <w:kern w:val="0"/>
          <w:sz w:val="21"/>
          <w:szCs w:val="21"/>
          <w:highlight w:val="none"/>
          <w:lang w:val="en-US" w:eastAsia="zh-CN" w:bidi="ar-SA"/>
        </w:rPr>
        <w:t>　</w:t>
      </w:r>
      <w:r>
        <w:rPr>
          <w:rFonts w:hint="eastAsia" w:ascii="黑体" w:hAnsi="Times New Roman" w:eastAsia="黑体" w:cs="Times New Roman"/>
          <w:sz w:val="21"/>
          <w:szCs w:val="21"/>
          <w:lang w:val="en-US" w:eastAsia="zh-CN" w:bidi="ar-SA"/>
        </w:rPr>
        <w:t>诱蚊灯法</w:t>
      </w:r>
    </w:p>
    <w:p w14:paraId="725CE60C">
      <w:pPr>
        <w:pStyle w:val="54"/>
        <w:numPr>
          <w:ilvl w:val="-1"/>
          <w:numId w:val="0"/>
        </w:numPr>
        <w:bidi w:val="0"/>
        <w:ind w:left="0" w:leftChars="0" w:firstLine="0" w:firstLineChars="0"/>
        <w:rPr>
          <w:rFonts w:hint="default"/>
          <w:lang w:val="en-US" w:eastAsia="zh-CN"/>
        </w:rPr>
      </w:pPr>
      <w:r>
        <w:rPr>
          <w:rFonts w:hint="default" w:cs="Times New Roman"/>
          <w:sz w:val="21"/>
          <w:szCs w:val="21"/>
          <w:lang w:val="en-US" w:eastAsia="zh-CN" w:bidi="ar-SA"/>
        </w:rPr>
        <w:t>5.2.1.1.1</w:t>
      </w:r>
      <w:r>
        <w:rPr>
          <w:rFonts w:hint="eastAsia" w:ascii="黑体" w:hAnsi="黑体" w:eastAsia="黑体" w:cs="Times New Roman"/>
          <w:kern w:val="0"/>
          <w:sz w:val="21"/>
          <w:szCs w:val="21"/>
          <w:highlight w:val="none"/>
          <w:lang w:val="en-US" w:eastAsia="zh-CN" w:bidi="ar-SA"/>
        </w:rPr>
        <w:t>　</w:t>
      </w:r>
      <w:r>
        <w:rPr>
          <w:rFonts w:hint="eastAsia"/>
        </w:rPr>
        <w:t>操作步骤</w:t>
      </w:r>
    </w:p>
    <w:p w14:paraId="76FAB80F">
      <w:pPr>
        <w:pStyle w:val="54"/>
        <w:numPr>
          <w:ilvl w:val="3"/>
          <w:numId w:val="0"/>
        </w:numPr>
        <w:bidi w:val="0"/>
        <w:ind w:leftChars="0" w:firstLine="420" w:firstLineChars="200"/>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选择正在使用的动物厩舍和有人居住的人房作为室内监测点</w:t>
      </w:r>
      <w:r>
        <w:rPr>
          <w:rFonts w:hint="eastAsia" w:ascii="宋体"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诱蚊灯光源离地1.5m</w:t>
      </w:r>
      <w:r>
        <w:rPr>
          <w:rFonts w:hint="eastAsia" w:ascii="宋体"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日落前1h接通电源</w:t>
      </w:r>
      <w:r>
        <w:rPr>
          <w:rFonts w:hint="eastAsia" w:ascii="宋体"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开启诱蚊灯诱捕蚊虫</w:t>
      </w:r>
      <w:r>
        <w:rPr>
          <w:rFonts w:hint="eastAsia" w:ascii="宋体"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直至次日日出后1h</w:t>
      </w:r>
      <w:r>
        <w:rPr>
          <w:rFonts w:hint="eastAsia" w:ascii="宋体"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或根据监测目的决定诱集时间</w:t>
      </w:r>
      <w:r>
        <w:rPr>
          <w:rFonts w:hint="eastAsia" w:ascii="宋体"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密闭收集器后</w:t>
      </w:r>
      <w:r>
        <w:rPr>
          <w:rFonts w:hint="eastAsia" w:ascii="宋体"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再关闭电源。对蚊虫进行收集、分类和计数。及时记录温度、湿度和风速</w:t>
      </w:r>
      <w:r>
        <w:rPr>
          <w:rFonts w:hint="eastAsia" w:ascii="宋体"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参见附录</w:t>
      </w:r>
      <w:r>
        <w:rPr>
          <w:rFonts w:hint="eastAsia" w:ascii="宋体" w:eastAsia="宋体" w:cs="Times New Roman"/>
          <w:sz w:val="21"/>
          <w:highlight w:val="none"/>
          <w:lang w:val="en-US" w:eastAsia="zh-CN" w:bidi="ar-SA"/>
        </w:rPr>
        <w:t>A</w:t>
      </w:r>
      <w:r>
        <w:rPr>
          <w:rFonts w:hint="eastAsia" w:ascii="宋体" w:hAnsi="Times New Roman" w:eastAsia="宋体" w:cs="Times New Roman"/>
          <w:sz w:val="21"/>
          <w:highlight w:val="none"/>
          <w:lang w:val="en-US" w:eastAsia="zh-CN" w:bidi="ar-SA"/>
        </w:rPr>
        <w:t>中表A.1</w:t>
      </w:r>
      <w:r>
        <w:rPr>
          <w:rFonts w:hint="eastAsia" w:ascii="宋体" w:eastAsia="宋体" w:cs="Times New Roman"/>
          <w:sz w:val="21"/>
          <w:highlight w:val="none"/>
          <w:lang w:val="en-US" w:eastAsia="zh-CN" w:bidi="ar-SA"/>
        </w:rPr>
        <w:t>）</w:t>
      </w:r>
      <w:r>
        <w:rPr>
          <w:rFonts w:hint="eastAsia" w:ascii="宋体" w:hAnsi="Times New Roman" w:eastAsia="宋体" w:cs="Times New Roman"/>
          <w:sz w:val="21"/>
          <w:highlight w:val="none"/>
          <w:lang w:val="en-US" w:eastAsia="zh-CN" w:bidi="ar-SA"/>
        </w:rPr>
        <w:t>。</w:t>
      </w:r>
    </w:p>
    <w:p w14:paraId="32021559">
      <w:pPr>
        <w:pStyle w:val="49"/>
        <w:numPr>
          <w:ilvl w:val="2"/>
          <w:numId w:val="0"/>
        </w:numPr>
        <w:spacing w:before="156" w:after="156"/>
        <w:ind w:leftChars="0"/>
        <w:rPr>
          <w:rFonts w:hint="eastAsia"/>
        </w:rPr>
      </w:pPr>
      <w:r>
        <w:rPr>
          <w:rFonts w:hint="eastAsia"/>
          <w:lang w:val="en-US" w:eastAsia="zh-CN"/>
        </w:rPr>
        <w:t>5.2.1.1.2</w:t>
      </w:r>
      <w:r>
        <w:rPr>
          <w:rFonts w:hint="eastAsia" w:ascii="宋体" w:hAnsi="宋体" w:eastAsia="宋体" w:cs="宋体"/>
          <w:lang w:val="en-US" w:eastAsia="zh-CN"/>
        </w:rPr>
        <w:t>　</w:t>
      </w:r>
      <w:r>
        <w:rPr>
          <w:rFonts w:hint="eastAsia"/>
        </w:rPr>
        <w:t>结果表述</w:t>
      </w:r>
    </w:p>
    <w:p w14:paraId="56CB97E3">
      <w:pPr>
        <w:pStyle w:val="24"/>
        <w:rPr>
          <w:rFonts w:hint="default"/>
          <w:lang w:val="en-US" w:eastAsia="zh-CN"/>
        </w:rPr>
      </w:pPr>
      <w:r>
        <w:rPr>
          <w:rFonts w:hint="default"/>
          <w:lang w:val="en-US" w:eastAsia="zh-CN"/>
        </w:rPr>
        <w:t>诱蚊灯法蚊密度以每盏灯每夜捕获雌蚊数表示，单位</w:t>
      </w:r>
      <w:r>
        <w:rPr>
          <w:rFonts w:hint="eastAsia"/>
          <w:lang w:val="en-US" w:eastAsia="zh-CN"/>
        </w:rPr>
        <w:t>：</w:t>
      </w:r>
      <w:r>
        <w:rPr>
          <w:rFonts w:hint="default"/>
          <w:lang w:val="en-US" w:eastAsia="zh-CN"/>
        </w:rPr>
        <w:t>只/（灯·夜），计算公式如</w:t>
      </w:r>
      <w:r>
        <w:rPr>
          <w:rFonts w:hint="eastAsia"/>
          <w:lang w:val="en-US" w:eastAsia="zh-CN"/>
        </w:rPr>
        <w:t>式（1）</w:t>
      </w:r>
      <w:r>
        <w:rPr>
          <w:rFonts w:hint="default"/>
          <w:lang w:val="en-US" w:eastAsia="zh-CN"/>
        </w:rPr>
        <w:t>：</w:t>
      </w:r>
    </w:p>
    <w:p w14:paraId="53C3BB68">
      <w:pPr>
        <w:keepNext w:val="0"/>
        <w:keepLines w:val="0"/>
        <w:pageBreakBefore w:val="0"/>
        <w:widowControl w:val="0"/>
        <w:tabs>
          <w:tab w:val="center" w:pos="4677"/>
          <w:tab w:val="right" w:leader="dot" w:pos="9240"/>
          <w:tab w:val="right" w:leader="dot" w:pos="10772"/>
        </w:tabs>
        <w:kinsoku/>
        <w:wordWrap/>
        <w:overflowPunct/>
        <w:topLinePunct w:val="0"/>
        <w:autoSpaceDE/>
        <w:autoSpaceDN/>
        <w:bidi w:val="0"/>
        <w:adjustRightInd/>
        <w:snapToGrid/>
        <w:textAlignment w:val="auto"/>
        <w:rPr>
          <w:rFonts w:hint="eastAsia" w:hAnsi="DejaVu Math TeX Gyre"/>
          <w:b w:val="0"/>
          <w:i w:val="0"/>
          <w:lang w:val="en-US" w:eastAsia="zh-CN"/>
        </w:rPr>
      </w:pPr>
      <w:r>
        <w:rPr>
          <w:rFonts w:hint="eastAsia" w:hAnsi="DejaVu Math TeX Gyre"/>
          <w:b w:val="0"/>
          <w:i w:val="0"/>
          <w:lang w:val="en-US" w:eastAsia="zh-CN"/>
        </w:rPr>
        <w:tab/>
      </w:r>
      <m:oMath>
        <m:r>
          <m:rPr>
            <m:sty m:val="p"/>
          </m:rPr>
          <w:rPr>
            <w:rFonts w:hint="default" w:ascii="DejaVu Math TeX Gyre" w:hAnsi="DejaVu Math TeX Gyre"/>
            <w:lang w:val="en-US" w:eastAsia="zh-CN"/>
          </w:rPr>
          <m:t>蚊密度</m:t>
        </m:r>
        <m:r>
          <m:rPr>
            <m:sty m:val="p"/>
          </m:rPr>
          <w:rPr>
            <w:rFonts w:hint="eastAsia" w:ascii="DejaVu Math TeX Gyre" w:hAnsi="DejaVu Math TeX Gyre"/>
            <w:lang w:val="en-US" w:eastAsia="zh-CN"/>
          </w:rPr>
          <m:t>=</m:t>
        </m:r>
        <m:f>
          <m:fPr>
            <m:ctrlPr>
              <w:rPr>
                <w:rFonts w:hint="default" w:ascii="DejaVu Math TeX Gyre" w:hAnsi="DejaVu Math TeX Gyre"/>
                <w:b w:val="0"/>
                <w:i w:val="0"/>
                <w:lang w:val="en-US" w:eastAsia="zh-CN"/>
              </w:rPr>
            </m:ctrlPr>
          </m:fPr>
          <m:num>
            <m:r>
              <m:rPr>
                <m:sty m:val="p"/>
              </m:rPr>
              <w:rPr>
                <w:rFonts w:hint="default" w:ascii="DejaVu Math TeX Gyre" w:hAnsi="DejaVu Math TeX Gyre"/>
                <w:lang w:val="en-US" w:eastAsia="zh-CN"/>
              </w:rPr>
              <m:t>捕获雌蚊数</m:t>
            </m:r>
            <m:ctrlPr>
              <w:rPr>
                <w:rFonts w:hint="default" w:ascii="DejaVu Math TeX Gyre" w:hAnsi="DejaVu Math TeX Gyre"/>
                <w:b w:val="0"/>
                <w:i w:val="0"/>
                <w:lang w:val="en-US" w:eastAsia="zh-CN"/>
              </w:rPr>
            </m:ctrlPr>
          </m:num>
          <m:den>
            <m:r>
              <m:rPr>
                <m:sty m:val="p"/>
              </m:rPr>
              <w:rPr>
                <w:rFonts w:hint="default" w:ascii="DejaVu Math TeX Gyre" w:hAnsi="DejaVu Math TeX Gyre"/>
                <w:lang w:val="en-US" w:eastAsia="zh-CN"/>
              </w:rPr>
              <m:t>布放灯数</m:t>
            </m:r>
            <m:r>
              <m:rPr>
                <m:sty m:val="p"/>
              </m:rPr>
              <w:rPr>
                <w:rFonts w:hint="default" w:ascii="DejaVu Math TeX Gyre" w:hAnsi="DejaVu Math TeX Gyre" w:cs="Arial"/>
                <w:lang w:val="en-US" w:eastAsia="zh-CN"/>
              </w:rPr>
              <m:t>×</m:t>
            </m:r>
            <m:r>
              <m:rPr>
                <m:sty m:val="p"/>
              </m:rPr>
              <w:rPr>
                <w:rFonts w:hint="default" w:ascii="DejaVu Math TeX Gyre" w:hAnsi="DejaVu Math TeX Gyre"/>
                <w:lang w:val="en-US" w:eastAsia="zh-CN"/>
              </w:rPr>
              <m:t>诱蚊夜数</m:t>
            </m:r>
            <m:ctrlPr>
              <w:rPr>
                <w:rFonts w:hint="default" w:ascii="DejaVu Math TeX Gyre" w:hAnsi="DejaVu Math TeX Gyre"/>
                <w:b w:val="0"/>
                <w:i w:val="0"/>
                <w:lang w:val="en-US" w:eastAsia="zh-CN"/>
              </w:rPr>
            </m:ctrlPr>
          </m:den>
        </m:f>
      </m:oMath>
      <w:r>
        <w:rPr>
          <w:rFonts w:hint="eastAsia" w:hAnsi="DejaVu Math TeX Gyre"/>
          <w:b w:val="0"/>
          <w:i w:val="0"/>
          <w:lang w:val="en-US" w:eastAsia="zh-CN"/>
        </w:rPr>
        <w:tab/>
      </w:r>
      <w:r>
        <w:rPr>
          <w:rFonts w:hint="eastAsia" w:hAnsi="DejaVu Math TeX Gyre"/>
          <w:b w:val="0"/>
          <w:i w:val="0"/>
          <w:lang w:val="en-US" w:eastAsia="zh-CN"/>
        </w:rPr>
        <w:t>（1）</w:t>
      </w:r>
    </w:p>
    <w:p w14:paraId="006B338E">
      <w:pPr>
        <w:pStyle w:val="49"/>
        <w:numPr>
          <w:ilvl w:val="-1"/>
          <w:numId w:val="0"/>
        </w:numPr>
        <w:bidi w:val="0"/>
        <w:ind w:left="0" w:leftChars="0" w:firstLine="0" w:firstLineChars="0"/>
        <w:rPr>
          <w:rFonts w:hint="eastAsia"/>
          <w:lang w:val="en-US" w:eastAsia="zh-CN"/>
        </w:rPr>
      </w:pPr>
      <w:r>
        <w:rPr>
          <w:rFonts w:hint="default" w:cs="Times New Roman"/>
          <w:sz w:val="21"/>
          <w:szCs w:val="21"/>
          <w:lang w:val="en-US" w:eastAsia="zh-CN" w:bidi="ar-SA"/>
        </w:rPr>
        <w:t>5.2.1.2</w:t>
      </w:r>
      <w:r>
        <w:rPr>
          <w:rFonts w:hint="eastAsia" w:ascii="黑体" w:hAnsi="黑体" w:eastAsia="黑体" w:cs="Times New Roman"/>
          <w:kern w:val="0"/>
          <w:sz w:val="21"/>
          <w:szCs w:val="21"/>
          <w:highlight w:val="none"/>
          <w:lang w:val="en-US" w:eastAsia="zh-CN" w:bidi="ar-SA"/>
        </w:rPr>
        <w:t>　</w:t>
      </w:r>
      <w:r>
        <w:rPr>
          <w:rFonts w:hint="eastAsia"/>
          <w:lang w:val="en-US" w:eastAsia="zh-CN"/>
        </w:rPr>
        <w:t>双层叠帐法</w:t>
      </w:r>
    </w:p>
    <w:p w14:paraId="6AF1EAF7">
      <w:pPr>
        <w:pStyle w:val="49"/>
        <w:numPr>
          <w:ilvl w:val="-1"/>
          <w:numId w:val="0"/>
        </w:numPr>
        <w:rPr>
          <w:rFonts w:hint="default"/>
          <w:lang w:val="en-US" w:eastAsia="zh-CN"/>
        </w:rPr>
      </w:pPr>
      <w:r>
        <w:rPr>
          <w:rFonts w:hint="default" w:cs="Times New Roman"/>
          <w:sz w:val="21"/>
          <w:szCs w:val="21"/>
          <w:lang w:val="en-US" w:eastAsia="zh-CN" w:bidi="ar-SA"/>
        </w:rPr>
        <w:t>5.2.1.2.1</w:t>
      </w:r>
      <w:r>
        <w:rPr>
          <w:rFonts w:hint="eastAsia" w:ascii="黑体" w:hAnsi="黑体" w:eastAsia="黑体" w:cs="Times New Roman"/>
          <w:kern w:val="0"/>
          <w:sz w:val="21"/>
          <w:szCs w:val="21"/>
          <w:highlight w:val="none"/>
          <w:lang w:val="en-US" w:eastAsia="zh-CN" w:bidi="ar-SA"/>
        </w:rPr>
        <w:t>　</w:t>
      </w:r>
      <w:r>
        <w:rPr>
          <w:rFonts w:hint="eastAsia"/>
        </w:rPr>
        <w:t>操作步骤</w:t>
      </w:r>
    </w:p>
    <w:p w14:paraId="640722BD">
      <w:pPr>
        <w:pStyle w:val="24"/>
        <w:rPr>
          <w:rFonts w:hint="default"/>
          <w:lang w:val="en-US" w:eastAsia="zh-CN"/>
        </w:rPr>
      </w:pPr>
      <w:r>
        <w:rPr>
          <w:rFonts w:hint="default"/>
          <w:lang w:val="en-US" w:eastAsia="zh-CN"/>
        </w:rPr>
        <w:t>选择蚊虫活动高峰期</w:t>
      </w:r>
      <w:r>
        <w:rPr>
          <w:rFonts w:hint="eastAsia" w:ascii="宋体" w:eastAsia="宋体" w:cs="Times New Roman"/>
          <w:sz w:val="21"/>
          <w:highlight w:val="none"/>
          <w:lang w:val="en-US" w:eastAsia="zh-CN" w:bidi="ar-SA"/>
        </w:rPr>
        <w:t>，</w:t>
      </w:r>
      <w:r>
        <w:rPr>
          <w:rFonts w:hint="default"/>
          <w:lang w:val="en-US" w:eastAsia="zh-CN"/>
        </w:rPr>
        <w:t>将蚊帐悬挂</w:t>
      </w:r>
      <w:r>
        <w:rPr>
          <w:rFonts w:hint="eastAsia" w:ascii="宋体" w:eastAsia="宋体" w:cs="Times New Roman"/>
          <w:sz w:val="21"/>
          <w:highlight w:val="none"/>
          <w:lang w:val="en-US" w:eastAsia="zh-CN" w:bidi="ar-SA"/>
        </w:rPr>
        <w:t>，</w:t>
      </w:r>
      <w:r>
        <w:rPr>
          <w:rFonts w:hint="default"/>
          <w:lang w:val="en-US" w:eastAsia="zh-CN"/>
        </w:rPr>
        <w:t>上下四角撑开固定</w:t>
      </w:r>
      <w:r>
        <w:rPr>
          <w:rFonts w:hint="eastAsia" w:ascii="宋体" w:eastAsia="宋体" w:cs="Times New Roman"/>
          <w:sz w:val="21"/>
          <w:highlight w:val="none"/>
          <w:lang w:val="en-US" w:eastAsia="zh-CN" w:bidi="ar-SA"/>
        </w:rPr>
        <w:t>，</w:t>
      </w:r>
      <w:r>
        <w:rPr>
          <w:rFonts w:hint="default"/>
          <w:lang w:val="en-US" w:eastAsia="zh-CN"/>
        </w:rPr>
        <w:t>使帐下缘距地面250mm</w:t>
      </w:r>
      <w:r>
        <w:rPr>
          <w:rFonts w:hint="eastAsia"/>
          <w:lang w:val="en-US" w:eastAsia="zh-CN"/>
        </w:rPr>
        <w:t>-</w:t>
      </w:r>
      <w:r>
        <w:rPr>
          <w:rFonts w:hint="default"/>
          <w:lang w:val="en-US" w:eastAsia="zh-CN"/>
        </w:rPr>
        <w:t>300mm</w:t>
      </w:r>
      <w:r>
        <w:rPr>
          <w:rFonts w:hint="eastAsia"/>
          <w:lang w:val="en-US" w:eastAsia="zh-CN"/>
        </w:rPr>
        <w:t>。</w:t>
      </w:r>
      <w:r>
        <w:rPr>
          <w:rFonts w:hint="default"/>
          <w:lang w:val="en-US" w:eastAsia="zh-CN"/>
        </w:rPr>
        <w:t>监测者手持电动吸蚊器或手持式蚊虫采样器和手电筒捕获帐内蚊虫</w:t>
      </w:r>
      <w:r>
        <w:rPr>
          <w:rFonts w:hint="eastAsia" w:ascii="宋体" w:eastAsia="宋体" w:cs="Times New Roman"/>
          <w:sz w:val="21"/>
          <w:highlight w:val="none"/>
          <w:lang w:val="en-US" w:eastAsia="zh-CN" w:bidi="ar-SA"/>
        </w:rPr>
        <w:t>，</w:t>
      </w:r>
      <w:r>
        <w:rPr>
          <w:rFonts w:hint="default"/>
          <w:lang w:val="en-US" w:eastAsia="zh-CN"/>
        </w:rPr>
        <w:t>做好个人物理防护。每次监测30min</w:t>
      </w:r>
      <w:r>
        <w:rPr>
          <w:rFonts w:hint="eastAsia"/>
          <w:lang w:val="en-US" w:eastAsia="zh-CN"/>
        </w:rPr>
        <w:t>，</w:t>
      </w:r>
      <w:r>
        <w:rPr>
          <w:rFonts w:hint="default"/>
          <w:lang w:val="en-US" w:eastAsia="zh-CN"/>
        </w:rPr>
        <w:t>或根据监测目的设定时间。对蚊虫进行收集、分类和计数。及时记录温度、湿度和风速</w:t>
      </w:r>
      <w:r>
        <w:rPr>
          <w:rFonts w:hint="eastAsia"/>
          <w:lang w:val="en-US" w:eastAsia="zh-CN"/>
        </w:rPr>
        <w:t>（</w:t>
      </w:r>
      <w:r>
        <w:rPr>
          <w:rFonts w:hint="eastAsia" w:ascii="宋体" w:hAnsi="Times New Roman" w:eastAsia="宋体" w:cs="Times New Roman"/>
          <w:sz w:val="21"/>
          <w:highlight w:val="none"/>
          <w:lang w:val="en-US" w:eastAsia="zh-CN" w:bidi="ar-SA"/>
        </w:rPr>
        <w:t>参见附录</w:t>
      </w:r>
      <w:r>
        <w:rPr>
          <w:rFonts w:hint="eastAsia" w:ascii="宋体" w:eastAsia="宋体" w:cs="Times New Roman"/>
          <w:sz w:val="21"/>
          <w:highlight w:val="none"/>
          <w:lang w:val="en-US" w:eastAsia="zh-CN" w:bidi="ar-SA"/>
        </w:rPr>
        <w:t>A</w:t>
      </w:r>
      <w:r>
        <w:rPr>
          <w:rFonts w:hint="eastAsia" w:ascii="宋体" w:hAnsi="Times New Roman" w:eastAsia="宋体" w:cs="Times New Roman"/>
          <w:sz w:val="21"/>
          <w:highlight w:val="none"/>
          <w:lang w:val="en-US" w:eastAsia="zh-CN" w:bidi="ar-SA"/>
        </w:rPr>
        <w:t>中表A.1</w:t>
      </w:r>
      <w:r>
        <w:rPr>
          <w:rFonts w:hint="eastAsia"/>
          <w:lang w:val="en-US" w:eastAsia="zh-CN"/>
        </w:rPr>
        <w:t>）</w:t>
      </w:r>
      <w:r>
        <w:rPr>
          <w:rFonts w:hint="default"/>
          <w:lang w:val="en-US" w:eastAsia="zh-CN"/>
        </w:rPr>
        <w:t>。</w:t>
      </w:r>
    </w:p>
    <w:p w14:paraId="1C1D20EA">
      <w:pPr>
        <w:pStyle w:val="54"/>
        <w:numPr>
          <w:ilvl w:val="-1"/>
          <w:numId w:val="0"/>
        </w:numPr>
        <w:bidi w:val="0"/>
        <w:ind w:left="0" w:leftChars="0" w:firstLine="0" w:firstLineChars="0"/>
        <w:rPr>
          <w:rFonts w:hint="eastAsia"/>
        </w:rPr>
      </w:pPr>
      <w:r>
        <w:rPr>
          <w:rFonts w:hint="default" w:cs="Times New Roman"/>
          <w:sz w:val="21"/>
          <w:szCs w:val="21"/>
          <w:lang w:val="en-US" w:eastAsia="zh-CN" w:bidi="ar-SA"/>
        </w:rPr>
        <w:t>5.2.1.2.2</w:t>
      </w:r>
      <w:r>
        <w:rPr>
          <w:rFonts w:hint="eastAsia" w:ascii="黑体" w:hAnsi="黑体" w:eastAsia="黑体" w:cs="Times New Roman"/>
          <w:kern w:val="0"/>
          <w:sz w:val="21"/>
          <w:szCs w:val="21"/>
          <w:highlight w:val="none"/>
          <w:lang w:val="en-US" w:eastAsia="zh-CN" w:bidi="ar-SA"/>
        </w:rPr>
        <w:t>　</w:t>
      </w:r>
      <w:r>
        <w:rPr>
          <w:rFonts w:hint="eastAsia"/>
        </w:rPr>
        <w:t>结果表述</w:t>
      </w:r>
    </w:p>
    <w:p w14:paraId="570AB72A">
      <w:pPr>
        <w:pStyle w:val="54"/>
        <w:numPr>
          <w:ilvl w:val="3"/>
          <w:numId w:val="0"/>
        </w:numPr>
        <w:bidi w:val="0"/>
        <w:ind w:leftChars="0" w:firstLine="420" w:firstLineChars="200"/>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双层叠帐法密度指标以帐诱指数表示，指每帐每小时捕获雌蚊数，单位:只/（顶·小时），计算公式如</w:t>
      </w:r>
      <w:r>
        <w:rPr>
          <w:rFonts w:hint="eastAsia" w:ascii="宋体" w:hAnsi="Times New Roman" w:eastAsia="宋体" w:cs="Times New Roman"/>
          <w:sz w:val="21"/>
          <w:lang w:val="en-US" w:eastAsia="zh-CN" w:bidi="ar-SA"/>
        </w:rPr>
        <w:t>式（</w:t>
      </w:r>
      <w:r>
        <w:rPr>
          <w:rFonts w:hint="eastAsia" w:ascii="宋体" w:eastAsia="宋体" w:cs="Times New Roman"/>
          <w:sz w:val="21"/>
          <w:lang w:val="en-US" w:eastAsia="zh-CN" w:bidi="ar-SA"/>
        </w:rPr>
        <w:t>2</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w:t>
      </w:r>
    </w:p>
    <w:p w14:paraId="139FC2C4">
      <w:pPr>
        <w:keepNext w:val="0"/>
        <w:keepLines w:val="0"/>
        <w:pageBreakBefore w:val="0"/>
        <w:widowControl w:val="0"/>
        <w:tabs>
          <w:tab w:val="center" w:pos="4677"/>
          <w:tab w:val="right" w:leader="dot" w:pos="9240"/>
          <w:tab w:val="right" w:leader="dot" w:pos="10772"/>
        </w:tabs>
        <w:kinsoku/>
        <w:wordWrap/>
        <w:overflowPunct/>
        <w:topLinePunct w:val="0"/>
        <w:autoSpaceDE/>
        <w:autoSpaceDN/>
        <w:bidi w:val="0"/>
        <w:adjustRightInd/>
        <w:snapToGrid/>
        <w:textAlignment w:val="auto"/>
        <w:rPr>
          <w:rFonts w:hint="default"/>
          <w:lang w:val="en-US" w:eastAsia="zh-CN"/>
        </w:rPr>
      </w:pPr>
      <w:r>
        <w:rPr>
          <w:rFonts w:hint="eastAsia" w:hAnsi="DejaVu Math TeX Gyre"/>
          <w:b w:val="0"/>
          <w:i w:val="0"/>
          <w:lang w:val="en-US" w:eastAsia="zh-CN"/>
        </w:rPr>
        <w:tab/>
      </w:r>
      <m:oMath>
        <m:r>
          <m:rPr>
            <m:sty m:val="p"/>
          </m:rPr>
          <w:rPr>
            <w:rFonts w:hint="default" w:ascii="DejaVu Math TeX Gyre" w:hAnsi="DejaVu Math TeX Gyre"/>
            <w:lang w:val="en-US" w:eastAsia="zh-CN"/>
          </w:rPr>
          <m:t>帐诱指数</m:t>
        </m:r>
        <m:r>
          <m:rPr>
            <m:sty m:val="p"/>
          </m:rPr>
          <w:rPr>
            <w:rFonts w:hint="eastAsia" w:ascii="DejaVu Math TeX Gyre" w:hAnsi="DejaVu Math TeX Gyre"/>
            <w:lang w:val="en-US" w:eastAsia="zh-CN"/>
          </w:rPr>
          <m:t>=</m:t>
        </m:r>
        <m:f>
          <m:fPr>
            <m:ctrlPr>
              <w:rPr>
                <w:rFonts w:hint="default" w:ascii="DejaVu Math TeX Gyre" w:hAnsi="DejaVu Math TeX Gyre"/>
                <w:b w:val="0"/>
                <w:i w:val="0"/>
                <w:lang w:val="en-US" w:eastAsia="zh-CN"/>
              </w:rPr>
            </m:ctrlPr>
          </m:fPr>
          <m:num>
            <m:r>
              <m:rPr>
                <m:sty m:val="p"/>
              </m:rPr>
              <w:rPr>
                <w:rFonts w:hint="default" w:ascii="DejaVu Math TeX Gyre" w:hAnsi="DejaVu Math TeX Gyre"/>
                <w:lang w:val="en-US" w:eastAsia="zh-CN"/>
              </w:rPr>
              <m:t>捕获雌蚊数</m:t>
            </m:r>
            <m:ctrlPr>
              <w:rPr>
                <w:rFonts w:hint="default" w:ascii="DejaVu Math TeX Gyre" w:hAnsi="DejaVu Math TeX Gyre"/>
                <w:b w:val="0"/>
                <w:i w:val="0"/>
                <w:lang w:val="en-US" w:eastAsia="zh-CN"/>
              </w:rPr>
            </m:ctrlPr>
          </m:num>
          <m:den>
            <m:r>
              <m:rPr>
                <m:sty m:val="p"/>
              </m:rPr>
              <w:rPr>
                <w:rFonts w:hint="default" w:ascii="DejaVu Math TeX Gyre" w:hAnsi="DejaVu Math TeX Gyre"/>
                <w:lang w:val="en-US" w:eastAsia="zh-CN"/>
              </w:rPr>
              <m:t>蚊帐数</m:t>
            </m:r>
            <m:r>
              <m:rPr>
                <m:sty m:val="p"/>
              </m:rPr>
              <w:rPr>
                <w:rFonts w:hint="default" w:ascii="DejaVu Math TeX Gyre" w:hAnsi="DejaVu Math TeX Gyre" w:cs="Arial"/>
                <w:lang w:val="en-US" w:eastAsia="zh-CN"/>
              </w:rPr>
              <m:t>×30分钟</m:t>
            </m:r>
            <m:ctrlPr>
              <w:rPr>
                <w:rFonts w:hint="default" w:ascii="DejaVu Math TeX Gyre" w:hAnsi="DejaVu Math TeX Gyre"/>
                <w:b w:val="0"/>
                <w:i w:val="0"/>
                <w:lang w:val="en-US" w:eastAsia="zh-CN"/>
              </w:rPr>
            </m:ctrlPr>
          </m:den>
        </m:f>
        <m:r>
          <m:rPr>
            <m:sty m:val="p"/>
          </m:rPr>
          <w:rPr>
            <w:rFonts w:hint="default" w:ascii="DejaVu Math TeX Gyre" w:hAnsi="DejaVu Math TeX Gyre" w:eastAsia="宋体"/>
            <w:lang w:val="en-US" w:eastAsia="zh-CN"/>
          </w:rPr>
          <m:t>×</m:t>
        </m:r>
        <m:r>
          <m:rPr>
            <m:sty m:val="p"/>
          </m:rPr>
          <w:rPr>
            <w:rFonts w:hint="eastAsia" w:ascii="DejaVu Math TeX Gyre" w:hAnsi="DejaVu Math TeX Gyre" w:eastAsia="宋体"/>
            <w:lang w:val="en-US" w:eastAsia="zh-CN"/>
          </w:rPr>
          <m:t>60分钟/小时</m:t>
        </m:r>
      </m:oMath>
      <w:r>
        <w:rPr>
          <w:rFonts w:hint="eastAsia" w:hAnsi="DejaVu Math TeX Gyre"/>
          <w:b w:val="0"/>
          <w:i w:val="0"/>
          <w:lang w:val="en-US" w:eastAsia="zh-CN"/>
        </w:rPr>
        <w:tab/>
      </w:r>
      <w:r>
        <w:rPr>
          <w:rFonts w:hint="eastAsia" w:hAnsi="DejaVu Math TeX Gyre"/>
          <w:b w:val="0"/>
          <w:i w:val="0"/>
          <w:lang w:val="en-US" w:eastAsia="zh-CN"/>
        </w:rPr>
        <w:t>（2）</w:t>
      </w:r>
    </w:p>
    <w:p w14:paraId="26AC4263">
      <w:pPr>
        <w:pStyle w:val="49"/>
        <w:numPr>
          <w:ilvl w:val="-1"/>
          <w:numId w:val="0"/>
        </w:numPr>
        <w:bidi w:val="0"/>
        <w:ind w:left="0" w:leftChars="0" w:firstLine="0" w:firstLineChars="0"/>
        <w:rPr>
          <w:rFonts w:hint="default"/>
          <w:lang w:val="en-US" w:eastAsia="zh-CN"/>
        </w:rPr>
      </w:pPr>
      <w:r>
        <w:rPr>
          <w:rFonts w:hint="eastAsia"/>
          <w:lang w:val="en-US" w:eastAsia="zh-CN"/>
        </w:rPr>
        <w:t>5.2.2</w:t>
      </w:r>
      <w:r>
        <w:rPr>
          <w:rFonts w:hint="eastAsia" w:ascii="黑体" w:hAnsi="黑体" w:eastAsia="黑体" w:cs="Times New Roman"/>
          <w:kern w:val="0"/>
          <w:sz w:val="21"/>
          <w:szCs w:val="21"/>
          <w:highlight w:val="none"/>
          <w:lang w:val="en-US" w:eastAsia="zh-CN" w:bidi="ar-SA"/>
        </w:rPr>
        <w:t>　</w:t>
      </w:r>
      <w:r>
        <w:rPr>
          <w:rFonts w:hint="eastAsia"/>
          <w:lang w:val="en-US" w:eastAsia="zh-CN"/>
        </w:rPr>
        <w:t>幼虫</w:t>
      </w:r>
      <w:r>
        <w:rPr>
          <w:rFonts w:hint="eastAsia"/>
          <w:highlight w:val="none"/>
          <w:lang w:eastAsia="zh-CN"/>
        </w:rPr>
        <w:t>调查方法</w:t>
      </w:r>
    </w:p>
    <w:p w14:paraId="73B11411">
      <w:pPr>
        <w:pStyle w:val="49"/>
        <w:numPr>
          <w:ilvl w:val="-1"/>
          <w:numId w:val="0"/>
        </w:numPr>
        <w:bidi w:val="0"/>
        <w:ind w:left="0" w:leftChars="0" w:firstLine="0" w:firstLineChars="0"/>
        <w:rPr>
          <w:rFonts w:hint="eastAsia"/>
          <w:lang w:val="en-US" w:eastAsia="zh-CN"/>
        </w:rPr>
      </w:pPr>
      <w:r>
        <w:rPr>
          <w:rFonts w:hint="default"/>
          <w:lang w:val="en-US" w:eastAsia="zh-CN"/>
        </w:rPr>
        <w:t>5.2.2.1</w:t>
      </w:r>
      <w:r>
        <w:rPr>
          <w:rFonts w:hint="eastAsia" w:ascii="黑体" w:hAnsi="黑体" w:eastAsia="黑体" w:cs="Times New Roman"/>
          <w:kern w:val="0"/>
          <w:sz w:val="21"/>
          <w:szCs w:val="21"/>
          <w:highlight w:val="none"/>
          <w:lang w:val="en-US" w:eastAsia="zh-CN" w:bidi="ar-SA"/>
        </w:rPr>
        <w:t>　</w:t>
      </w:r>
      <w:r>
        <w:rPr>
          <w:rFonts w:hint="eastAsia"/>
          <w:lang w:val="en-US" w:eastAsia="zh-CN"/>
        </w:rPr>
        <w:t>路径法</w:t>
      </w:r>
    </w:p>
    <w:p w14:paraId="74284ACC">
      <w:pPr>
        <w:pStyle w:val="54"/>
        <w:numPr>
          <w:ilvl w:val="-1"/>
          <w:numId w:val="0"/>
        </w:numPr>
        <w:bidi w:val="0"/>
        <w:ind w:left="0" w:leftChars="0" w:firstLine="0" w:firstLineChars="0"/>
        <w:rPr>
          <w:rFonts w:hint="default"/>
          <w:lang w:val="en-US" w:eastAsia="zh-CN"/>
        </w:rPr>
      </w:pPr>
      <w:r>
        <w:rPr>
          <w:rFonts w:hint="default"/>
          <w:lang w:val="en-US"/>
        </w:rPr>
        <w:t>5.2.2.1.1</w:t>
      </w:r>
      <w:r>
        <w:rPr>
          <w:rFonts w:hint="eastAsia" w:ascii="黑体" w:hAnsi="黑体" w:eastAsia="黑体" w:cs="Times New Roman"/>
          <w:kern w:val="0"/>
          <w:sz w:val="21"/>
          <w:szCs w:val="21"/>
          <w:highlight w:val="none"/>
          <w:lang w:val="en-US" w:eastAsia="zh-CN" w:bidi="ar-SA"/>
        </w:rPr>
        <w:t>　</w:t>
      </w:r>
      <w:r>
        <w:rPr>
          <w:rFonts w:hint="eastAsia"/>
        </w:rPr>
        <w:t>操作步骤</w:t>
      </w:r>
    </w:p>
    <w:p w14:paraId="7AD27EA8">
      <w:pPr>
        <w:pStyle w:val="24"/>
        <w:rPr>
          <w:rFonts w:hint="eastAsia"/>
          <w:lang w:val="en-US" w:eastAsia="zh-CN"/>
        </w:rPr>
      </w:pPr>
      <w:r>
        <w:rPr>
          <w:rFonts w:hint="eastAsia"/>
          <w:lang w:val="en-US" w:eastAsia="zh-CN"/>
        </w:rPr>
        <w:t>沿寻找小型积水的路线，依监测人的步幅设定好计步参数，以均匀步伐前进，检查沿途可能存在的幼虫（蛹）容器与小型积水，及时记录发现的幼虫（蛹）阳性容器数和小型积水处数，结束后记录路径长度。</w:t>
      </w:r>
    </w:p>
    <w:p w14:paraId="43C424C0">
      <w:pPr>
        <w:pStyle w:val="49"/>
        <w:numPr>
          <w:ilvl w:val="2"/>
          <w:numId w:val="0"/>
        </w:numPr>
        <w:bidi w:val="0"/>
        <w:rPr>
          <w:rFonts w:hint="eastAsia"/>
        </w:rPr>
      </w:pPr>
      <w:r>
        <w:rPr>
          <w:rFonts w:hint="default"/>
          <w:lang w:val="en-US"/>
        </w:rPr>
        <w:t>5.2.2.1.2</w:t>
      </w:r>
      <w:r>
        <w:rPr>
          <w:rFonts w:hint="eastAsia" w:ascii="黑体" w:hAnsi="黑体" w:eastAsia="黑体" w:cs="Times New Roman"/>
          <w:kern w:val="0"/>
          <w:sz w:val="21"/>
          <w:szCs w:val="21"/>
          <w:highlight w:val="none"/>
          <w:lang w:val="en-US" w:eastAsia="zh-CN" w:bidi="ar-SA"/>
        </w:rPr>
        <w:t>　</w:t>
      </w:r>
      <w:r>
        <w:rPr>
          <w:rFonts w:hint="eastAsia"/>
        </w:rPr>
        <w:t>结果表述</w:t>
      </w:r>
    </w:p>
    <w:p w14:paraId="28BA27B0">
      <w:pPr>
        <w:pStyle w:val="24"/>
        <w:rPr>
          <w:rFonts w:hint="eastAsia"/>
          <w:lang w:val="en-US" w:eastAsia="zh-CN"/>
        </w:rPr>
      </w:pPr>
      <w:r>
        <w:rPr>
          <w:rFonts w:hint="eastAsia"/>
          <w:lang w:val="en-US" w:eastAsia="zh-CN"/>
        </w:rPr>
        <w:t>路径法的密度计算为路径指数，指每1000米路径发现的阳性蚊虫幼虫（蛹）积水处数，单位：处/千米，计算公式如</w:t>
      </w:r>
      <w:r>
        <w:rPr>
          <w:rFonts w:hint="eastAsia" w:ascii="宋体" w:hAnsi="Times New Roman" w:eastAsia="宋体" w:cs="Times New Roman"/>
          <w:sz w:val="21"/>
          <w:lang w:val="en-US" w:eastAsia="zh-CN" w:bidi="ar-SA"/>
        </w:rPr>
        <w:t>式（</w:t>
      </w:r>
      <w:r>
        <w:rPr>
          <w:rFonts w:hint="eastAsia" w:ascii="宋体" w:eastAsia="宋体" w:cs="Times New Roman"/>
          <w:sz w:val="21"/>
          <w:lang w:val="en-US" w:eastAsia="zh-CN" w:bidi="ar-SA"/>
        </w:rPr>
        <w:t>3</w:t>
      </w:r>
      <w:r>
        <w:rPr>
          <w:rFonts w:hint="eastAsia" w:ascii="宋体" w:hAnsi="Times New Roman" w:eastAsia="宋体" w:cs="Times New Roman"/>
          <w:sz w:val="21"/>
          <w:lang w:val="en-US" w:eastAsia="zh-CN" w:bidi="ar-SA"/>
        </w:rPr>
        <w:t>）</w:t>
      </w:r>
      <w:r>
        <w:rPr>
          <w:rFonts w:hint="eastAsia"/>
          <w:lang w:val="en-US" w:eastAsia="zh-CN"/>
        </w:rPr>
        <w:t>：</w:t>
      </w:r>
    </w:p>
    <w:p w14:paraId="51E694E8">
      <w:pPr>
        <w:keepNext w:val="0"/>
        <w:keepLines w:val="0"/>
        <w:pageBreakBefore w:val="0"/>
        <w:widowControl w:val="0"/>
        <w:tabs>
          <w:tab w:val="center" w:pos="4677"/>
          <w:tab w:val="right" w:leader="dot" w:pos="9240"/>
          <w:tab w:val="right" w:leader="dot" w:pos="10772"/>
        </w:tabs>
        <w:kinsoku/>
        <w:wordWrap/>
        <w:overflowPunct/>
        <w:topLinePunct w:val="0"/>
        <w:autoSpaceDE/>
        <w:autoSpaceDN/>
        <w:bidi w:val="0"/>
        <w:adjustRightInd/>
        <w:snapToGrid/>
        <w:textAlignment w:val="auto"/>
        <w:rPr>
          <w:rFonts w:hint="eastAsia"/>
          <w:lang w:val="en-US" w:eastAsia="zh-CN"/>
        </w:rPr>
      </w:pPr>
      <w:r>
        <w:rPr>
          <w:rFonts w:hint="eastAsia" w:hAnsi="DejaVu Math TeX Gyre"/>
          <w:b w:val="0"/>
          <w:i w:val="0"/>
          <w:lang w:val="en-US" w:eastAsia="zh-CN"/>
        </w:rPr>
        <w:tab/>
      </w:r>
      <m:oMath>
        <m:r>
          <m:rPr>
            <m:sty m:val="p"/>
          </m:rPr>
          <w:rPr>
            <w:rFonts w:hint="default" w:ascii="DejaVu Math TeX Gyre" w:hAnsi="DejaVu Math TeX Gyre"/>
            <w:lang w:val="en-US" w:eastAsia="zh-CN"/>
          </w:rPr>
          <m:t>路径指数</m:t>
        </m:r>
        <m:r>
          <m:rPr>
            <m:sty m:val="p"/>
          </m:rPr>
          <w:rPr>
            <w:rFonts w:hint="eastAsia" w:ascii="DejaVu Math TeX Gyre" w:hAnsi="DejaVu Math TeX Gyre"/>
            <w:lang w:val="en-US" w:eastAsia="zh-CN"/>
          </w:rPr>
          <m:t>=</m:t>
        </m:r>
        <m:f>
          <m:fPr>
            <m:ctrlPr>
              <w:rPr>
                <w:rFonts w:hint="default" w:ascii="DejaVu Math TeX Gyre" w:hAnsi="DejaVu Math TeX Gyre"/>
                <w:b w:val="0"/>
                <w:i w:val="0"/>
                <w:lang w:val="en-US" w:eastAsia="zh-CN"/>
              </w:rPr>
            </m:ctrlPr>
          </m:fPr>
          <m:num>
            <m:r>
              <m:rPr>
                <m:sty m:val="p"/>
              </m:rPr>
              <w:rPr>
                <w:rFonts w:hint="default" w:ascii="DejaVu Math TeX Gyre" w:hAnsi="DejaVu Math TeX Gyre"/>
                <w:lang w:val="en-US" w:eastAsia="zh-CN"/>
              </w:rPr>
              <m:t>阳性容器数或阳性积水处数</m:t>
            </m:r>
            <m:ctrlPr>
              <w:rPr>
                <w:rFonts w:hint="default" w:ascii="DejaVu Math TeX Gyre" w:hAnsi="DejaVu Math TeX Gyre"/>
                <w:b w:val="0"/>
                <w:i w:val="0"/>
                <w:lang w:val="en-US" w:eastAsia="zh-CN"/>
              </w:rPr>
            </m:ctrlPr>
          </m:num>
          <m:den>
            <m:r>
              <m:rPr>
                <m:sty m:val="p"/>
              </m:rPr>
              <w:rPr>
                <w:rFonts w:hint="default" w:ascii="DejaVu Math TeX Gyre" w:hAnsi="DejaVu Math TeX Gyre"/>
                <w:lang w:val="en-US" w:eastAsia="zh-CN"/>
              </w:rPr>
              <m:t>监测行走距离（千米）</m:t>
            </m:r>
            <m:ctrlPr>
              <w:rPr>
                <w:rFonts w:hint="default" w:ascii="DejaVu Math TeX Gyre" w:hAnsi="DejaVu Math TeX Gyre"/>
                <w:b w:val="0"/>
                <w:i w:val="0"/>
                <w:lang w:val="en-US" w:eastAsia="zh-CN"/>
              </w:rPr>
            </m:ctrlPr>
          </m:den>
        </m:f>
      </m:oMath>
      <w:r>
        <w:rPr>
          <w:rFonts w:hint="eastAsia" w:hAnsi="DejaVu Math TeX Gyre"/>
          <w:b w:val="0"/>
          <w:i w:val="0"/>
          <w:lang w:val="en-US" w:eastAsia="zh-CN"/>
        </w:rPr>
        <w:tab/>
      </w:r>
      <w:r>
        <w:rPr>
          <w:rFonts w:hint="eastAsia" w:hAnsi="DejaVu Math TeX Gyre"/>
          <w:b w:val="0"/>
          <w:i w:val="0"/>
          <w:lang w:val="en-US" w:eastAsia="zh-CN"/>
        </w:rPr>
        <w:t>（3）</w:t>
      </w:r>
    </w:p>
    <w:p w14:paraId="4375F5DE">
      <w:pPr>
        <w:pStyle w:val="49"/>
        <w:numPr>
          <w:ilvl w:val="-1"/>
          <w:numId w:val="0"/>
        </w:numPr>
        <w:bidi w:val="0"/>
        <w:ind w:left="0" w:leftChars="0" w:firstLine="0" w:firstLineChars="0"/>
        <w:rPr>
          <w:rFonts w:hint="eastAsia"/>
          <w:lang w:val="en-US" w:eastAsia="zh-CN"/>
        </w:rPr>
      </w:pPr>
      <w:r>
        <w:rPr>
          <w:rFonts w:hint="default"/>
          <w:lang w:val="en-US" w:eastAsia="zh-CN"/>
        </w:rPr>
        <w:t>5.2.2.2</w:t>
      </w:r>
      <w:r>
        <w:rPr>
          <w:rFonts w:hint="eastAsia" w:ascii="黑体" w:hAnsi="黑体" w:eastAsia="黑体" w:cs="Times New Roman"/>
          <w:kern w:val="0"/>
          <w:sz w:val="21"/>
          <w:szCs w:val="21"/>
          <w:highlight w:val="none"/>
          <w:lang w:val="en-US" w:eastAsia="zh-CN" w:bidi="ar-SA"/>
        </w:rPr>
        <w:t>　</w:t>
      </w:r>
      <w:r>
        <w:rPr>
          <w:rFonts w:hint="eastAsia"/>
          <w:lang w:val="en-US" w:eastAsia="zh-CN"/>
        </w:rPr>
        <w:t>勺捕法</w:t>
      </w:r>
    </w:p>
    <w:p w14:paraId="34DAEAAC">
      <w:pPr>
        <w:pStyle w:val="54"/>
        <w:numPr>
          <w:ilvl w:val="3"/>
          <w:numId w:val="0"/>
        </w:numPr>
        <w:bidi w:val="0"/>
        <w:ind w:leftChars="0"/>
        <w:rPr>
          <w:rFonts w:hint="default"/>
          <w:lang w:val="en-US" w:eastAsia="zh-CN"/>
        </w:rPr>
      </w:pPr>
      <w:r>
        <w:rPr>
          <w:rFonts w:hint="default"/>
          <w:lang w:val="en-US"/>
        </w:rPr>
        <w:t>5.2.2.2.1</w:t>
      </w:r>
      <w:r>
        <w:rPr>
          <w:rFonts w:hint="eastAsia" w:ascii="黑体" w:hAnsi="黑体" w:eastAsia="黑体" w:cs="Times New Roman"/>
          <w:kern w:val="0"/>
          <w:sz w:val="21"/>
          <w:szCs w:val="21"/>
          <w:highlight w:val="none"/>
          <w:lang w:val="en-US" w:eastAsia="zh-CN" w:bidi="ar-SA"/>
        </w:rPr>
        <w:t>　</w:t>
      </w:r>
      <w:r>
        <w:rPr>
          <w:rFonts w:hint="eastAsia"/>
        </w:rPr>
        <w:t>操作步骤</w:t>
      </w:r>
    </w:p>
    <w:p w14:paraId="04437B79">
      <w:pPr>
        <w:pStyle w:val="49"/>
        <w:numPr>
          <w:ilvl w:val="2"/>
          <w:numId w:val="0"/>
        </w:numPr>
        <w:bidi w:val="0"/>
        <w:ind w:leftChars="0" w:firstLine="420" w:firstLineChars="200"/>
        <w:rPr>
          <w:rFonts w:hint="eastAsia" w:ascii="宋体" w:hAnsi="Times New Roman" w:eastAsia="宋体" w:cs="Times New Roman"/>
          <w:sz w:val="21"/>
          <w:szCs w:val="21"/>
          <w:lang w:val="en-US" w:eastAsia="zh-CN" w:bidi="ar-SA"/>
        </w:rPr>
      </w:pPr>
      <w:r>
        <w:rPr>
          <w:rFonts w:hint="eastAsia" w:ascii="宋体" w:hAnsi="Times New Roman" w:eastAsia="宋体" w:cs="Times New Roman"/>
          <w:sz w:val="21"/>
          <w:szCs w:val="21"/>
          <w:lang w:val="en-US" w:eastAsia="zh-CN" w:bidi="ar-SA"/>
        </w:rPr>
        <w:t>沿着大中型水体岸边</w:t>
      </w:r>
      <w:r>
        <w:rPr>
          <w:rFonts w:hint="eastAsia" w:ascii="宋体" w:eastAsia="宋体" w:cs="Times New Roman"/>
          <w:sz w:val="21"/>
          <w:szCs w:val="21"/>
          <w:lang w:val="en-US" w:eastAsia="zh-CN" w:bidi="ar-SA"/>
        </w:rPr>
        <w:t>，</w:t>
      </w:r>
      <w:r>
        <w:rPr>
          <w:rFonts w:hint="eastAsia" w:ascii="宋体" w:hAnsi="Times New Roman" w:eastAsia="宋体" w:cs="Times New Roman"/>
          <w:sz w:val="21"/>
          <w:szCs w:val="21"/>
          <w:lang w:val="en-US" w:eastAsia="zh-CN" w:bidi="ar-SA"/>
        </w:rPr>
        <w:t>每隔10m选择一个采样点</w:t>
      </w:r>
      <w:r>
        <w:rPr>
          <w:rFonts w:hint="eastAsia" w:ascii="宋体" w:eastAsia="宋体" w:cs="Times New Roman"/>
          <w:sz w:val="21"/>
          <w:szCs w:val="21"/>
          <w:lang w:val="en-US" w:eastAsia="zh-CN" w:bidi="ar-SA"/>
        </w:rPr>
        <w:t>，</w:t>
      </w:r>
      <w:r>
        <w:rPr>
          <w:rFonts w:hint="eastAsia" w:ascii="宋体" w:hAnsi="Times New Roman" w:eastAsia="宋体" w:cs="Times New Roman"/>
          <w:sz w:val="21"/>
          <w:szCs w:val="21"/>
          <w:lang w:val="en-US" w:eastAsia="zh-CN" w:bidi="ar-SA"/>
        </w:rPr>
        <w:t>用水勺迅速从水体中舀起一勺水</w:t>
      </w:r>
      <w:r>
        <w:rPr>
          <w:rFonts w:hint="eastAsia" w:ascii="宋体" w:eastAsia="宋体" w:cs="Times New Roman"/>
          <w:sz w:val="21"/>
          <w:szCs w:val="21"/>
          <w:lang w:val="en-US" w:eastAsia="zh-CN" w:bidi="ar-SA"/>
        </w:rPr>
        <w:t>，</w:t>
      </w:r>
      <w:r>
        <w:rPr>
          <w:rFonts w:hint="eastAsia" w:ascii="宋体" w:hAnsi="Times New Roman" w:eastAsia="宋体" w:cs="Times New Roman"/>
          <w:sz w:val="21"/>
          <w:szCs w:val="21"/>
          <w:lang w:val="en-US" w:eastAsia="zh-CN" w:bidi="ar-SA"/>
        </w:rPr>
        <w:t>吸出幼虫</w:t>
      </w:r>
      <w:r>
        <w:rPr>
          <w:rFonts w:hint="eastAsia" w:ascii="宋体" w:eastAsia="宋体" w:cs="Times New Roman"/>
          <w:sz w:val="21"/>
          <w:szCs w:val="21"/>
          <w:lang w:val="en-US" w:eastAsia="zh-CN" w:bidi="ar-SA"/>
        </w:rPr>
        <w:t>（</w:t>
      </w:r>
      <w:r>
        <w:rPr>
          <w:rFonts w:hint="eastAsia" w:ascii="宋体" w:hAnsi="Times New Roman" w:eastAsia="宋体" w:cs="Times New Roman"/>
          <w:sz w:val="21"/>
          <w:szCs w:val="21"/>
          <w:lang w:val="en-US" w:eastAsia="zh-CN" w:bidi="ar-SA"/>
        </w:rPr>
        <w:t>蛹</w:t>
      </w:r>
      <w:r>
        <w:rPr>
          <w:rFonts w:hint="eastAsia" w:ascii="宋体" w:eastAsia="宋体" w:cs="Times New Roman"/>
          <w:sz w:val="21"/>
          <w:szCs w:val="21"/>
          <w:lang w:val="en-US" w:eastAsia="zh-CN" w:bidi="ar-SA"/>
        </w:rPr>
        <w:t>）</w:t>
      </w:r>
      <w:r>
        <w:rPr>
          <w:rFonts w:hint="eastAsia" w:ascii="宋体" w:hAnsi="Times New Roman" w:eastAsia="宋体" w:cs="Times New Roman"/>
          <w:sz w:val="21"/>
          <w:szCs w:val="21"/>
          <w:lang w:val="en-US" w:eastAsia="zh-CN" w:bidi="ar-SA"/>
        </w:rPr>
        <w:t>并放入已编号的采样管中</w:t>
      </w:r>
      <w:r>
        <w:rPr>
          <w:rFonts w:hint="eastAsia" w:ascii="宋体" w:eastAsia="宋体" w:cs="Times New Roman"/>
          <w:sz w:val="21"/>
          <w:szCs w:val="21"/>
          <w:lang w:val="en-US" w:eastAsia="zh-CN" w:bidi="ar-SA"/>
        </w:rPr>
        <w:t>，</w:t>
      </w:r>
      <w:r>
        <w:rPr>
          <w:rFonts w:hint="eastAsia" w:ascii="宋体" w:hAnsi="Times New Roman" w:eastAsia="宋体" w:cs="Times New Roman"/>
          <w:sz w:val="21"/>
          <w:szCs w:val="21"/>
          <w:lang w:val="en-US" w:eastAsia="zh-CN" w:bidi="ar-SA"/>
        </w:rPr>
        <w:t>对蚊虫进行收集、分类和计数</w:t>
      </w:r>
      <w:r>
        <w:rPr>
          <w:rFonts w:hint="eastAsia" w:ascii="宋体" w:eastAsia="宋体" w:cs="Times New Roman"/>
          <w:sz w:val="21"/>
          <w:szCs w:val="21"/>
          <w:lang w:val="en-US" w:eastAsia="zh-CN" w:bidi="ar-SA"/>
        </w:rPr>
        <w:t>，</w:t>
      </w:r>
      <w:r>
        <w:rPr>
          <w:rFonts w:hint="eastAsia" w:ascii="宋体" w:hAnsi="Times New Roman" w:eastAsia="宋体" w:cs="Times New Roman"/>
          <w:sz w:val="21"/>
          <w:szCs w:val="21"/>
          <w:lang w:val="en-US" w:eastAsia="zh-CN" w:bidi="ar-SA"/>
        </w:rPr>
        <w:t>并记录日期、场所</w:t>
      </w:r>
      <w:r>
        <w:rPr>
          <w:rFonts w:hint="eastAsia" w:ascii="宋体" w:eastAsia="宋体" w:cs="Times New Roman"/>
          <w:sz w:val="21"/>
          <w:szCs w:val="21"/>
          <w:lang w:val="en-US" w:eastAsia="zh-CN" w:bidi="ar-SA"/>
        </w:rPr>
        <w:t>（</w:t>
      </w:r>
      <w:r>
        <w:rPr>
          <w:rFonts w:hint="eastAsia" w:ascii="宋体" w:hAnsi="Times New Roman" w:eastAsia="宋体" w:cs="Times New Roman"/>
          <w:sz w:val="21"/>
          <w:highlight w:val="none"/>
          <w:lang w:val="en-US" w:eastAsia="zh-CN" w:bidi="ar-SA"/>
        </w:rPr>
        <w:t>参见附录</w:t>
      </w:r>
      <w:r>
        <w:rPr>
          <w:rFonts w:hint="eastAsia" w:ascii="宋体" w:eastAsia="宋体" w:cs="Times New Roman"/>
          <w:sz w:val="21"/>
          <w:highlight w:val="none"/>
          <w:lang w:val="en-US" w:eastAsia="zh-CN" w:bidi="ar-SA"/>
        </w:rPr>
        <w:t>A</w:t>
      </w:r>
      <w:r>
        <w:rPr>
          <w:rFonts w:hint="eastAsia" w:ascii="宋体" w:hAnsi="Times New Roman" w:eastAsia="宋体" w:cs="Times New Roman"/>
          <w:sz w:val="21"/>
          <w:highlight w:val="none"/>
          <w:lang w:val="en-US" w:eastAsia="zh-CN" w:bidi="ar-SA"/>
        </w:rPr>
        <w:t>中表A.</w:t>
      </w:r>
      <w:r>
        <w:rPr>
          <w:rFonts w:hint="eastAsia" w:ascii="宋体" w:eastAsia="宋体" w:cs="Times New Roman"/>
          <w:sz w:val="21"/>
          <w:highlight w:val="none"/>
          <w:lang w:val="en-US" w:eastAsia="zh-CN" w:bidi="ar-SA"/>
        </w:rPr>
        <w:t>2</w:t>
      </w:r>
      <w:r>
        <w:rPr>
          <w:rFonts w:hint="eastAsia" w:ascii="宋体" w:eastAsia="宋体" w:cs="Times New Roman"/>
          <w:sz w:val="21"/>
          <w:szCs w:val="21"/>
          <w:lang w:val="en-US" w:eastAsia="zh-CN" w:bidi="ar-SA"/>
        </w:rPr>
        <w:t>）</w:t>
      </w:r>
    </w:p>
    <w:p w14:paraId="351240E4">
      <w:pPr>
        <w:pStyle w:val="49"/>
        <w:numPr>
          <w:ilvl w:val="2"/>
          <w:numId w:val="0"/>
        </w:numPr>
        <w:bidi w:val="0"/>
        <w:rPr>
          <w:rFonts w:hint="eastAsia"/>
        </w:rPr>
      </w:pPr>
      <w:r>
        <w:rPr>
          <w:rFonts w:hint="default"/>
          <w:lang w:val="en-US"/>
        </w:rPr>
        <w:t>5.2.2.2.2</w:t>
      </w:r>
      <w:r>
        <w:rPr>
          <w:rFonts w:hint="eastAsia" w:ascii="黑体" w:hAnsi="黑体" w:eastAsia="黑体" w:cs="Times New Roman"/>
          <w:kern w:val="0"/>
          <w:sz w:val="21"/>
          <w:szCs w:val="21"/>
          <w:highlight w:val="none"/>
          <w:lang w:val="en-US" w:eastAsia="zh-CN" w:bidi="ar-SA"/>
        </w:rPr>
        <w:t>　</w:t>
      </w:r>
      <w:r>
        <w:rPr>
          <w:rFonts w:hint="eastAsia"/>
        </w:rPr>
        <w:t>结果表述</w:t>
      </w:r>
    </w:p>
    <w:p w14:paraId="7A6C1D14">
      <w:pPr>
        <w:pStyle w:val="24"/>
        <w:rPr>
          <w:rFonts w:hint="eastAsia"/>
          <w:lang w:val="en-US" w:eastAsia="zh-CN"/>
        </w:rPr>
      </w:pPr>
      <w:r>
        <w:rPr>
          <w:rFonts w:hint="eastAsia"/>
          <w:lang w:val="en-US" w:eastAsia="zh-CN"/>
        </w:rPr>
        <w:t>勺捕法的密度指标为采样勺指数和勺舀指数，采样勺指数即每采集100捞勺数所获得的蚊幼虫（蛹）阳性勺数，单位：阳性数/100勺，计算公式如</w:t>
      </w:r>
      <w:r>
        <w:rPr>
          <w:rFonts w:hint="eastAsia" w:ascii="宋体" w:hAnsi="Times New Roman" w:eastAsia="宋体" w:cs="Times New Roman"/>
          <w:sz w:val="21"/>
          <w:lang w:val="en-US" w:eastAsia="zh-CN" w:bidi="ar-SA"/>
        </w:rPr>
        <w:t>式（</w:t>
      </w:r>
      <w:r>
        <w:rPr>
          <w:rFonts w:hint="eastAsia" w:ascii="宋体" w:eastAsia="宋体" w:cs="Times New Roman"/>
          <w:sz w:val="21"/>
          <w:lang w:val="en-US" w:eastAsia="zh-CN" w:bidi="ar-SA"/>
        </w:rPr>
        <w:t>4</w:t>
      </w:r>
      <w:r>
        <w:rPr>
          <w:rFonts w:hint="eastAsia" w:ascii="宋体" w:hAnsi="Times New Roman" w:eastAsia="宋体" w:cs="Times New Roman"/>
          <w:sz w:val="21"/>
          <w:lang w:val="en-US" w:eastAsia="zh-CN" w:bidi="ar-SA"/>
        </w:rPr>
        <w:t>）</w:t>
      </w:r>
      <w:r>
        <w:rPr>
          <w:rFonts w:hint="eastAsia"/>
          <w:lang w:val="en-US" w:eastAsia="zh-CN"/>
        </w:rPr>
        <w:t>；勺舀指数指阳性勺中平均每勺可捕获的蚊幼虫（蛹）数目，单位：条/勺；计算公式如</w:t>
      </w:r>
      <w:r>
        <w:rPr>
          <w:rFonts w:hint="eastAsia" w:ascii="宋体" w:hAnsi="Times New Roman" w:eastAsia="宋体" w:cs="Times New Roman"/>
          <w:sz w:val="21"/>
          <w:lang w:val="en-US" w:eastAsia="zh-CN" w:bidi="ar-SA"/>
        </w:rPr>
        <w:t>式（</w:t>
      </w:r>
      <w:r>
        <w:rPr>
          <w:rFonts w:hint="eastAsia" w:ascii="宋体" w:eastAsia="宋体" w:cs="Times New Roman"/>
          <w:sz w:val="21"/>
          <w:lang w:val="en-US" w:eastAsia="zh-CN" w:bidi="ar-SA"/>
        </w:rPr>
        <w:t>5</w:t>
      </w:r>
      <w:r>
        <w:rPr>
          <w:rFonts w:hint="eastAsia" w:ascii="宋体" w:hAnsi="Times New Roman" w:eastAsia="宋体" w:cs="Times New Roman"/>
          <w:sz w:val="21"/>
          <w:lang w:val="en-US" w:eastAsia="zh-CN" w:bidi="ar-SA"/>
        </w:rPr>
        <w:t>）</w:t>
      </w:r>
      <w:r>
        <w:rPr>
          <w:rFonts w:hint="eastAsia"/>
          <w:lang w:val="en-US" w:eastAsia="zh-CN"/>
        </w:rPr>
        <w:t>：</w:t>
      </w:r>
    </w:p>
    <w:p w14:paraId="63667CBE">
      <w:pPr>
        <w:keepNext w:val="0"/>
        <w:keepLines w:val="0"/>
        <w:pageBreakBefore w:val="0"/>
        <w:widowControl w:val="0"/>
        <w:tabs>
          <w:tab w:val="center" w:pos="4677"/>
          <w:tab w:val="right" w:leader="dot" w:pos="9240"/>
          <w:tab w:val="right" w:leader="dot" w:pos="10772"/>
        </w:tabs>
        <w:kinsoku/>
        <w:wordWrap/>
        <w:overflowPunct/>
        <w:topLinePunct w:val="0"/>
        <w:autoSpaceDE/>
        <w:autoSpaceDN/>
        <w:bidi w:val="0"/>
        <w:adjustRightInd/>
        <w:snapToGrid/>
        <w:textAlignment w:val="auto"/>
        <w:rPr>
          <w:rFonts w:hint="default"/>
          <w:lang w:val="en-US" w:eastAsia="zh-CN"/>
        </w:rPr>
      </w:pPr>
      <w:r>
        <w:rPr>
          <w:rFonts w:hint="eastAsia" w:hAnsi="DejaVu Math TeX Gyre"/>
          <w:b w:val="0"/>
          <w:i w:val="0"/>
          <w:lang w:val="en-US" w:eastAsia="zh-CN"/>
        </w:rPr>
        <w:tab/>
      </w:r>
      <m:oMath>
        <m:r>
          <m:rPr>
            <m:sty m:val="p"/>
          </m:rPr>
          <w:rPr>
            <w:rFonts w:hint="eastAsia" w:ascii="DejaVu Math TeX Gyre" w:hAnsi="DejaVu Math TeX Gyre" w:eastAsia="宋体"/>
            <w:lang w:val="en-US" w:eastAsia="zh-CN"/>
          </w:rPr>
          <m:t>采样勺指数=</m:t>
        </m:r>
        <m:f>
          <m:fPr>
            <m:ctrlPr>
              <w:rPr>
                <w:rFonts w:hint="default" w:ascii="DejaVu Math TeX Gyre" w:hAnsi="DejaVu Math TeX Gyre" w:eastAsia="宋体"/>
                <w:b w:val="0"/>
                <w:i w:val="0"/>
                <w:lang w:val="en-US" w:eastAsia="zh-CN"/>
              </w:rPr>
            </m:ctrlPr>
          </m:fPr>
          <m:num>
            <m:r>
              <m:rPr>
                <m:sty m:val="p"/>
              </m:rPr>
              <w:rPr>
                <w:rFonts w:hint="eastAsia" w:ascii="DejaVu Math TeX Gyre" w:hAnsi="DejaVu Math TeX Gyre" w:eastAsia="宋体"/>
                <w:lang w:val="en-US" w:eastAsia="zh-CN"/>
              </w:rPr>
              <m:t>阳性勺数</m:t>
            </m:r>
            <m:ctrlPr>
              <w:rPr>
                <w:rFonts w:hint="default" w:ascii="DejaVu Math TeX Gyre" w:hAnsi="DejaVu Math TeX Gyre" w:eastAsia="宋体"/>
                <w:b w:val="0"/>
                <w:i w:val="0"/>
                <w:lang w:val="en-US" w:eastAsia="zh-CN"/>
              </w:rPr>
            </m:ctrlPr>
          </m:num>
          <m:den>
            <m:r>
              <m:rPr>
                <m:sty m:val="p"/>
              </m:rPr>
              <w:rPr>
                <w:rFonts w:hint="eastAsia" w:ascii="DejaVu Math TeX Gyre" w:hAnsi="DejaVu Math TeX Gyre" w:eastAsia="宋体"/>
                <w:lang w:val="en-US" w:eastAsia="zh-CN"/>
              </w:rPr>
              <m:t>采集总勺数</m:t>
            </m:r>
            <m:ctrlPr>
              <w:rPr>
                <w:rFonts w:hint="default" w:ascii="DejaVu Math TeX Gyre" w:hAnsi="DejaVu Math TeX Gyre" w:eastAsia="宋体"/>
                <w:b w:val="0"/>
                <w:i w:val="0"/>
                <w:lang w:val="en-US" w:eastAsia="zh-CN"/>
              </w:rPr>
            </m:ctrlPr>
          </m:den>
        </m:f>
        <m:r>
          <m:rPr>
            <m:sty m:val="p"/>
          </m:rPr>
          <w:rPr>
            <w:rFonts w:hint="eastAsia" w:ascii="DejaVu Math TeX Gyre" w:hAnsi="DejaVu Math TeX Gyre" w:eastAsia="宋体"/>
            <w:lang w:val="en-US" w:eastAsia="zh-CN"/>
          </w:rPr>
          <m:t>×</m:t>
        </m:r>
        <m:r>
          <m:rPr>
            <m:sty m:val="p"/>
          </m:rPr>
          <w:rPr>
            <w:rFonts w:hint="default" w:ascii="DejaVu Math TeX Gyre" w:hAnsi="DejaVu Math TeX Gyre" w:eastAsia="宋体"/>
            <w:lang w:val="en-US" w:eastAsia="zh-CN"/>
          </w:rPr>
          <m:t>100</m:t>
        </m:r>
      </m:oMath>
      <w:r>
        <w:rPr>
          <w:rFonts w:hint="eastAsia" w:hAnsi="DejaVu Math TeX Gyre"/>
          <w:b w:val="0"/>
          <w:i w:val="0"/>
          <w:lang w:val="en-US" w:eastAsia="zh-CN"/>
        </w:rPr>
        <w:tab/>
      </w:r>
      <w:r>
        <w:rPr>
          <w:rFonts w:hint="eastAsia" w:hAnsi="DejaVu Math TeX Gyre"/>
          <w:b w:val="0"/>
          <w:i w:val="0"/>
          <w:lang w:val="en-US" w:eastAsia="zh-CN"/>
        </w:rPr>
        <w:t>（4）</w:t>
      </w:r>
    </w:p>
    <w:p w14:paraId="02E366C7">
      <w:pPr>
        <w:keepNext w:val="0"/>
        <w:keepLines w:val="0"/>
        <w:pageBreakBefore w:val="0"/>
        <w:widowControl w:val="0"/>
        <w:tabs>
          <w:tab w:val="center" w:pos="4677"/>
          <w:tab w:val="right" w:leader="dot" w:pos="9240"/>
          <w:tab w:val="right" w:leader="dot" w:pos="10772"/>
        </w:tabs>
        <w:kinsoku/>
        <w:wordWrap/>
        <w:overflowPunct/>
        <w:topLinePunct w:val="0"/>
        <w:autoSpaceDE/>
        <w:autoSpaceDN/>
        <w:bidi w:val="0"/>
        <w:adjustRightInd/>
        <w:snapToGrid/>
        <w:textAlignment w:val="auto"/>
        <w:rPr>
          <w:rFonts w:hint="eastAsia"/>
          <w:lang w:val="en-US" w:eastAsia="zh-CN"/>
        </w:rPr>
      </w:pPr>
      <w:r>
        <w:rPr>
          <w:rFonts w:hint="eastAsia" w:hAnsi="DejaVu Math TeX Gyre"/>
          <w:b w:val="0"/>
          <w:i w:val="0"/>
          <w:lang w:val="en-US" w:eastAsia="zh-CN"/>
        </w:rPr>
        <w:tab/>
      </w:r>
      <m:oMath>
        <m:r>
          <m:rPr>
            <m:sty m:val="p"/>
          </m:rPr>
          <w:rPr>
            <w:rFonts w:hint="eastAsia" w:ascii="DejaVu Math TeX Gyre" w:hAnsi="DejaVu Math TeX Gyre" w:eastAsia="宋体"/>
            <w:lang w:val="en-US" w:eastAsia="zh-CN"/>
          </w:rPr>
          <m:t>勺舀指数</m:t>
        </m:r>
        <m:r>
          <m:rPr>
            <m:sty m:val="p"/>
          </m:rPr>
          <w:rPr>
            <w:rFonts w:hint="default" w:ascii="DejaVu Math TeX Gyre" w:hAnsi="DejaVu Math TeX Gyre" w:eastAsia="宋体"/>
            <w:lang w:val="en-US" w:eastAsia="zh-CN"/>
          </w:rPr>
          <m:t>=</m:t>
        </m:r>
        <m:f>
          <m:fPr>
            <m:ctrlPr>
              <w:rPr>
                <w:rFonts w:hint="default" w:ascii="DejaVu Math TeX Gyre" w:hAnsi="DejaVu Math TeX Gyre" w:eastAsia="宋体"/>
                <w:b w:val="0"/>
                <w:i w:val="0"/>
                <w:lang w:val="en-US" w:eastAsia="zh-CN"/>
              </w:rPr>
            </m:ctrlPr>
          </m:fPr>
          <m:num>
            <m:r>
              <m:rPr>
                <m:sty m:val="p"/>
              </m:rPr>
              <w:rPr>
                <w:rFonts w:hint="eastAsia" w:ascii="DejaVu Math TeX Gyre" w:hAnsi="DejaVu Math TeX Gyre" w:eastAsia="宋体"/>
                <w:lang w:val="en-US" w:eastAsia="zh-CN"/>
              </w:rPr>
              <m:t>蚊幼虫（蛹）总数</m:t>
            </m:r>
            <m:ctrlPr>
              <w:rPr>
                <w:rFonts w:hint="default" w:ascii="DejaVu Math TeX Gyre" w:hAnsi="DejaVu Math TeX Gyre" w:eastAsia="宋体"/>
                <w:b w:val="0"/>
                <w:i w:val="0"/>
                <w:lang w:val="en-US" w:eastAsia="zh-CN"/>
              </w:rPr>
            </m:ctrlPr>
          </m:num>
          <m:den>
            <m:r>
              <m:rPr>
                <m:sty m:val="p"/>
              </m:rPr>
              <w:rPr>
                <w:rFonts w:hint="eastAsia" w:ascii="DejaVu Math TeX Gyre" w:hAnsi="DejaVu Math TeX Gyre" w:eastAsia="宋体"/>
                <w:lang w:val="en-US" w:eastAsia="zh-CN"/>
              </w:rPr>
              <m:t>阳性勺数</m:t>
            </m:r>
            <m:ctrlPr>
              <w:rPr>
                <w:rFonts w:hint="default" w:ascii="DejaVu Math TeX Gyre" w:hAnsi="DejaVu Math TeX Gyre" w:eastAsia="宋体"/>
                <w:b w:val="0"/>
                <w:i w:val="0"/>
                <w:lang w:val="en-US" w:eastAsia="zh-CN"/>
              </w:rPr>
            </m:ctrlPr>
          </m:den>
        </m:f>
      </m:oMath>
      <w:r>
        <w:rPr>
          <w:rFonts w:hint="eastAsia" w:hAnsi="DejaVu Math TeX Gyre"/>
          <w:b w:val="0"/>
          <w:i w:val="0"/>
          <w:lang w:val="en-US" w:eastAsia="zh-CN"/>
        </w:rPr>
        <w:tab/>
      </w:r>
      <w:r>
        <w:rPr>
          <w:rFonts w:hint="eastAsia" w:hAnsi="DejaVu Math TeX Gyre"/>
          <w:b w:val="0"/>
          <w:i w:val="0"/>
          <w:lang w:val="en-US" w:eastAsia="zh-CN"/>
        </w:rPr>
        <w:t>（5）</w:t>
      </w:r>
    </w:p>
    <w:p w14:paraId="3AFDE7A9">
      <w:pPr>
        <w:pStyle w:val="49"/>
        <w:numPr>
          <w:ilvl w:val="-1"/>
          <w:numId w:val="0"/>
        </w:numPr>
        <w:bidi w:val="0"/>
        <w:ind w:left="0" w:leftChars="0" w:firstLine="0" w:firstLineChars="0"/>
        <w:rPr>
          <w:rFonts w:hint="eastAsia"/>
          <w:lang w:val="en-US" w:eastAsia="zh-CN"/>
        </w:rPr>
      </w:pPr>
      <w:r>
        <w:rPr>
          <w:rFonts w:hint="default"/>
          <w:lang w:val="en-US" w:eastAsia="zh-CN"/>
        </w:rPr>
        <w:t>5.2.2.3</w:t>
      </w:r>
      <w:r>
        <w:rPr>
          <w:rFonts w:hint="eastAsia" w:ascii="黑体" w:hAnsi="黑体" w:eastAsia="黑体" w:cs="Times New Roman"/>
          <w:kern w:val="0"/>
          <w:sz w:val="21"/>
          <w:szCs w:val="21"/>
          <w:highlight w:val="none"/>
          <w:lang w:val="en-US" w:eastAsia="zh-CN" w:bidi="ar-SA"/>
        </w:rPr>
        <w:t>　</w:t>
      </w:r>
      <w:r>
        <w:rPr>
          <w:rFonts w:hint="eastAsia"/>
          <w:lang w:val="en-US" w:eastAsia="zh-CN"/>
        </w:rPr>
        <w:t>布雷图指数法</w:t>
      </w:r>
    </w:p>
    <w:p w14:paraId="1AB7DF7D">
      <w:pPr>
        <w:pStyle w:val="54"/>
        <w:numPr>
          <w:ilvl w:val="-1"/>
          <w:numId w:val="0"/>
        </w:numPr>
        <w:bidi w:val="0"/>
        <w:ind w:left="0" w:leftChars="0" w:firstLine="0" w:firstLineChars="0"/>
        <w:rPr>
          <w:rFonts w:hint="eastAsia"/>
        </w:rPr>
      </w:pPr>
      <w:r>
        <w:rPr>
          <w:rFonts w:hint="default"/>
          <w:lang w:val="en-US"/>
        </w:rPr>
        <w:t>5.2.2.3.1</w:t>
      </w:r>
      <w:r>
        <w:rPr>
          <w:rFonts w:hint="eastAsia" w:ascii="黑体" w:hAnsi="黑体" w:eastAsia="黑体" w:cs="Times New Roman"/>
          <w:kern w:val="0"/>
          <w:sz w:val="21"/>
          <w:szCs w:val="21"/>
          <w:highlight w:val="none"/>
          <w:lang w:val="en-US" w:eastAsia="zh-CN" w:bidi="ar-SA"/>
        </w:rPr>
        <w:t>　</w:t>
      </w:r>
      <w:r>
        <w:rPr>
          <w:rFonts w:hint="eastAsia"/>
        </w:rPr>
        <w:t>操作步骤</w:t>
      </w:r>
    </w:p>
    <w:p w14:paraId="52898CB0">
      <w:pPr>
        <w:pStyle w:val="54"/>
        <w:numPr>
          <w:ilvl w:val="3"/>
          <w:numId w:val="0"/>
        </w:numPr>
        <w:bidi w:val="0"/>
        <w:ind w:leftChars="0" w:firstLine="420" w:firstLineChars="200"/>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检查记录室外所有小型积水容器及其幼虫孳生情况，收集阳性容器中的蚊幼进行种类鉴定，或带回实验室饲养至成蚊进行种类鉴定，计算布雷图指数。</w:t>
      </w:r>
    </w:p>
    <w:p w14:paraId="3682B188">
      <w:pPr>
        <w:pStyle w:val="24"/>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rPr>
      </w:pPr>
      <w:r>
        <w:rPr>
          <w:rFonts w:hint="eastAsia" w:ascii="黑体" w:hAnsi="黑体" w:eastAsia="黑体" w:cs="Times New Roman"/>
          <w:kern w:val="0"/>
          <w:sz w:val="21"/>
          <w:szCs w:val="21"/>
          <w:highlight w:val="none"/>
          <w:lang w:val="en-US" w:eastAsia="zh-CN" w:bidi="ar-SA"/>
        </w:rPr>
        <w:t>5.2.2.</w:t>
      </w:r>
      <w:r>
        <w:rPr>
          <w:rFonts w:hint="default" w:ascii="黑体" w:hAnsi="黑体" w:eastAsia="黑体" w:cs="Times New Roman"/>
          <w:kern w:val="0"/>
          <w:sz w:val="21"/>
          <w:szCs w:val="21"/>
          <w:highlight w:val="none"/>
          <w:lang w:val="en-US" w:eastAsia="zh-CN" w:bidi="ar-SA"/>
        </w:rPr>
        <w:t>3</w:t>
      </w:r>
      <w:r>
        <w:rPr>
          <w:rFonts w:hint="eastAsia" w:ascii="黑体" w:hAnsi="黑体" w:eastAsia="黑体" w:cs="Times New Roman"/>
          <w:kern w:val="0"/>
          <w:sz w:val="21"/>
          <w:szCs w:val="21"/>
          <w:highlight w:val="none"/>
          <w:lang w:val="en-US" w:eastAsia="zh-CN" w:bidi="ar-SA"/>
        </w:rPr>
        <w:t>.</w:t>
      </w:r>
      <w:r>
        <w:rPr>
          <w:rFonts w:hint="default" w:ascii="黑体" w:hAnsi="黑体" w:eastAsia="黑体" w:cs="Times New Roman"/>
          <w:kern w:val="0"/>
          <w:sz w:val="21"/>
          <w:szCs w:val="21"/>
          <w:highlight w:val="none"/>
          <w:lang w:val="en-US" w:eastAsia="zh-CN" w:bidi="ar-SA"/>
        </w:rPr>
        <w:t>2</w:t>
      </w:r>
      <w:r>
        <w:rPr>
          <w:rFonts w:hint="eastAsia" w:ascii="黑体" w:hAnsi="黑体" w:eastAsia="黑体" w:cs="Times New Roman"/>
          <w:kern w:val="0"/>
          <w:sz w:val="21"/>
          <w:szCs w:val="21"/>
          <w:highlight w:val="none"/>
          <w:lang w:val="en-US" w:eastAsia="zh-CN" w:bidi="ar-SA"/>
        </w:rPr>
        <w:t>　</w:t>
      </w:r>
      <w:r>
        <w:rPr>
          <w:rFonts w:hint="eastAsia" w:ascii="黑体" w:hAnsi="Times New Roman" w:eastAsia="黑体" w:cs="Times New Roman"/>
          <w:sz w:val="21"/>
          <w:szCs w:val="21"/>
          <w:lang w:val="en-US" w:eastAsia="zh-CN" w:bidi="ar-SA"/>
        </w:rPr>
        <w:t>结果表述</w:t>
      </w:r>
    </w:p>
    <w:p w14:paraId="10684840">
      <w:pPr>
        <w:pStyle w:val="24"/>
        <w:ind w:left="0" w:leftChars="0" w:firstLine="420" w:firstLineChars="200"/>
        <w:rPr>
          <w:rFonts w:hint="eastAsia"/>
          <w:lang w:val="en-US" w:eastAsia="zh-CN"/>
        </w:rPr>
      </w:pPr>
      <w:r>
        <w:rPr>
          <w:rFonts w:hint="eastAsia"/>
          <w:lang w:val="en-US" w:eastAsia="zh-CN"/>
        </w:rPr>
        <w:t>布雷图指数法的密度指标为布雷图指数（BI），或百户指数，即每调查100户居民，检查获得的阳性容器（积水）数，单位：处/100户，计算公式如式（6）：</w:t>
      </w:r>
    </w:p>
    <w:p w14:paraId="649E28E1">
      <w:pPr>
        <w:keepNext w:val="0"/>
        <w:keepLines w:val="0"/>
        <w:pageBreakBefore w:val="0"/>
        <w:widowControl w:val="0"/>
        <w:tabs>
          <w:tab w:val="center" w:pos="4677"/>
          <w:tab w:val="right" w:leader="dot" w:pos="9240"/>
          <w:tab w:val="right" w:leader="dot" w:pos="10772"/>
        </w:tabs>
        <w:kinsoku/>
        <w:wordWrap/>
        <w:overflowPunct/>
        <w:topLinePunct w:val="0"/>
        <w:autoSpaceDE/>
        <w:autoSpaceDN/>
        <w:bidi w:val="0"/>
        <w:adjustRightInd/>
        <w:snapToGrid/>
        <w:textAlignment w:val="auto"/>
        <w:rPr>
          <w:rFonts w:hint="eastAsia"/>
          <w:lang w:val="en-US" w:eastAsia="zh-CN"/>
        </w:rPr>
      </w:pPr>
      <w:r>
        <w:rPr>
          <w:rFonts w:hint="eastAsia" w:hAnsi="DejaVu Math TeX Gyre"/>
          <w:b w:val="0"/>
          <w:i w:val="0"/>
          <w:lang w:val="en-US" w:eastAsia="zh-CN"/>
        </w:rPr>
        <w:tab/>
      </w:r>
      <m:oMath>
        <m:r>
          <m:rPr>
            <m:sty m:val="p"/>
          </m:rPr>
          <w:rPr>
            <w:rFonts w:hint="eastAsia" w:ascii="DejaVu Math TeX Gyre" w:hAnsi="DejaVu Math TeX Gyre" w:eastAsia="宋体"/>
            <w:lang w:val="en-US" w:eastAsia="zh-CN"/>
          </w:rPr>
          <m:t>布雷图指数(BI)=</m:t>
        </m:r>
        <m:f>
          <m:fPr>
            <m:ctrlPr>
              <w:rPr>
                <w:rFonts w:hint="eastAsia" w:ascii="DejaVu Math TeX Gyre" w:hAnsi="DejaVu Math TeX Gyre" w:eastAsia="宋体"/>
                <w:b w:val="0"/>
                <w:i w:val="0"/>
                <w:lang w:val="en-US" w:eastAsia="zh-CN"/>
              </w:rPr>
            </m:ctrlPr>
          </m:fPr>
          <m:num>
            <m:r>
              <m:rPr>
                <m:sty m:val="p"/>
              </m:rPr>
              <w:rPr>
                <w:rFonts w:hint="eastAsia" w:ascii="DejaVu Math TeX Gyre" w:hAnsi="DejaVu Math TeX Gyre" w:eastAsia="宋体"/>
                <w:lang w:val="en-US" w:eastAsia="zh-CN"/>
              </w:rPr>
              <m:t>媒介伊蚊阳性容器（积水）数</m:t>
            </m:r>
            <m:ctrlPr>
              <w:rPr>
                <w:rFonts w:hint="eastAsia" w:ascii="DejaVu Math TeX Gyre" w:hAnsi="DejaVu Math TeX Gyre" w:eastAsia="宋体"/>
                <w:b w:val="0"/>
                <w:i w:val="0"/>
                <w:lang w:val="en-US" w:eastAsia="zh-CN"/>
              </w:rPr>
            </m:ctrlPr>
          </m:num>
          <m:den>
            <m:r>
              <m:rPr>
                <m:sty m:val="p"/>
              </m:rPr>
              <w:rPr>
                <w:rFonts w:hint="eastAsia" w:ascii="DejaVu Math TeX Gyre" w:hAnsi="DejaVu Math TeX Gyre" w:eastAsia="宋体"/>
                <w:lang w:val="en-US" w:eastAsia="zh-CN"/>
              </w:rPr>
              <m:t>调查户数</m:t>
            </m:r>
            <m:ctrlPr>
              <w:rPr>
                <w:rFonts w:hint="eastAsia" w:ascii="DejaVu Math TeX Gyre" w:hAnsi="DejaVu Math TeX Gyre" w:eastAsia="宋体"/>
                <w:b w:val="0"/>
                <w:i w:val="0"/>
                <w:lang w:val="en-US" w:eastAsia="zh-CN"/>
              </w:rPr>
            </m:ctrlPr>
          </m:den>
        </m:f>
        <m:r>
          <m:rPr>
            <m:sty m:val="p"/>
          </m:rPr>
          <w:rPr>
            <w:rFonts w:hint="eastAsia" w:ascii="DejaVu Math TeX Gyre" w:hAnsi="DejaVu Math TeX Gyre" w:eastAsia="宋体"/>
            <w:lang w:val="en-US" w:eastAsia="zh-CN"/>
          </w:rPr>
          <m:t>×100</m:t>
        </m:r>
      </m:oMath>
      <w:r>
        <w:rPr>
          <w:rFonts w:hint="eastAsia" w:hAnsi="DejaVu Math TeX Gyre"/>
          <w:b w:val="0"/>
          <w:i w:val="0"/>
          <w:lang w:val="en-US" w:eastAsia="zh-CN"/>
        </w:rPr>
        <w:tab/>
      </w:r>
      <w:r>
        <w:rPr>
          <w:rFonts w:hint="eastAsia" w:hAnsi="DejaVu Math TeX Gyre"/>
          <w:b w:val="0"/>
          <w:i w:val="0"/>
          <w:lang w:val="en-US" w:eastAsia="zh-CN"/>
        </w:rPr>
        <w:t>（6）</w:t>
      </w:r>
    </w:p>
    <w:p w14:paraId="7CDCC44A">
      <w:pPr>
        <w:pStyle w:val="48"/>
        <w:spacing w:before="312" w:after="312"/>
        <w:rPr>
          <w:highlight w:val="none"/>
        </w:rPr>
      </w:pPr>
      <w:r>
        <w:rPr>
          <w:rFonts w:hint="eastAsia" w:ascii="黑体" w:hAnsi="Times New Roman" w:eastAsia="黑体" w:cs="Times New Roman"/>
          <w:kern w:val="0"/>
          <w:sz w:val="21"/>
          <w:szCs w:val="21"/>
          <w:lang w:val="en-US" w:eastAsia="zh-CN" w:bidi="ar-SA"/>
        </w:rPr>
        <w:t>防制措</w:t>
      </w:r>
      <w:r>
        <w:rPr>
          <w:rFonts w:hint="eastAsia"/>
          <w:highlight w:val="none"/>
          <w:lang w:eastAsia="zh-CN"/>
        </w:rPr>
        <w:t>施</w:t>
      </w:r>
    </w:p>
    <w:p w14:paraId="7A6003C7">
      <w:pPr>
        <w:pStyle w:val="45"/>
        <w:spacing w:before="156" w:after="156"/>
        <w:rPr>
          <w:highlight w:val="none"/>
        </w:rPr>
      </w:pPr>
      <w:r>
        <w:rPr>
          <w:rFonts w:hint="eastAsia"/>
          <w:highlight w:val="none"/>
          <w:lang w:eastAsia="zh-CN"/>
        </w:rPr>
        <w:t>环境治理</w:t>
      </w:r>
    </w:p>
    <w:p w14:paraId="54C4BF0E">
      <w:pPr>
        <w:pStyle w:val="49"/>
        <w:spacing w:before="156" w:after="156"/>
        <w:rPr>
          <w:highlight w:val="none"/>
        </w:rPr>
      </w:pPr>
      <w:r>
        <w:rPr>
          <w:rFonts w:hint="eastAsia"/>
          <w:highlight w:val="none"/>
        </w:rPr>
        <w:t>保持居住环境的清洁和卫生</w:t>
      </w:r>
    </w:p>
    <w:p w14:paraId="2C9D9F8F">
      <w:pPr>
        <w:pStyle w:val="54"/>
        <w:spacing w:before="0" w:beforeLines="0" w:after="0" w:afterLines="0"/>
        <w:rPr>
          <w:rFonts w:hint="eastAsia" w:ascii="宋体" w:eastAsia="宋体"/>
          <w:lang w:val="en-US" w:eastAsia="zh-CN"/>
        </w:rPr>
      </w:pPr>
      <w:r>
        <w:rPr>
          <w:rFonts w:hint="eastAsia" w:ascii="宋体" w:eastAsia="宋体"/>
          <w:lang w:val="en-US" w:eastAsia="zh-CN"/>
        </w:rPr>
        <w:t>持续强化环境卫生常态化管理，严格落实室内外环境清洁整治要求，做到全域清扫、不留死角，切实保持公共区域与重点场所干净整洁、规范有序。</w:t>
      </w:r>
    </w:p>
    <w:p w14:paraId="606FC066">
      <w:pPr>
        <w:pStyle w:val="24"/>
        <w:spacing w:beforeLines="0" w:afterLines="0"/>
        <w:ind w:left="0" w:leftChars="0" w:firstLine="0" w:firstLineChars="0"/>
        <w:rPr>
          <w:rFonts w:hint="eastAsia" w:ascii="宋体" w:eastAsia="宋体"/>
          <w:lang w:val="en-US" w:eastAsia="zh-CN" w:bidi="ar-SA"/>
        </w:rPr>
      </w:pPr>
      <w:r>
        <w:rPr>
          <w:rFonts w:hint="eastAsia" w:ascii="黑体" w:hAnsi="黑体" w:eastAsia="黑体" w:cs="黑体"/>
          <w:lang w:val="en-US" w:eastAsia="zh-CN"/>
        </w:rPr>
        <w:t>6.</w:t>
      </w:r>
      <w:r>
        <w:rPr>
          <w:rFonts w:hint="default" w:ascii="黑体" w:hAnsi="黑体" w:eastAsia="黑体" w:cs="黑体"/>
          <w:lang w:val="en-US" w:eastAsia="zh-CN"/>
        </w:rPr>
        <w:t>1</w:t>
      </w:r>
      <w:r>
        <w:rPr>
          <w:rFonts w:hint="eastAsia" w:ascii="黑体" w:hAnsi="黑体" w:eastAsia="黑体" w:cs="黑体"/>
          <w:lang w:val="en-US" w:eastAsia="zh-CN"/>
        </w:rPr>
        <w:t>.1.</w:t>
      </w:r>
      <w:r>
        <w:rPr>
          <w:rFonts w:hint="default" w:ascii="黑体" w:hAnsi="黑体" w:eastAsia="黑体" w:cs="黑体"/>
          <w:lang w:val="en-US" w:eastAsia="zh-CN"/>
        </w:rPr>
        <w:t>2</w:t>
      </w:r>
      <w:r>
        <w:rPr>
          <w:rFonts w:hint="eastAsia" w:ascii="宋体" w:hAnsi="宋体" w:eastAsia="宋体" w:cs="宋体"/>
          <w:lang w:val="en-US" w:eastAsia="zh-CN"/>
        </w:rPr>
        <w:t>　</w:t>
      </w:r>
      <w:r>
        <w:rPr>
          <w:rFonts w:hint="eastAsia" w:ascii="宋体" w:eastAsia="宋体"/>
          <w:lang w:val="en-US" w:eastAsia="zh-CN" w:bidi="ar-SA"/>
        </w:rPr>
        <w:t>稻田实行湿润灌溉，农田实行水、旱田轮作</w:t>
      </w:r>
      <w:r>
        <w:rPr>
          <w:rFonts w:hint="eastAsia"/>
          <w:lang w:val="en-US" w:eastAsia="zh-CN" w:bidi="ar-SA"/>
        </w:rPr>
        <w:t>，</w:t>
      </w:r>
      <w:r>
        <w:rPr>
          <w:rFonts w:hint="eastAsia" w:ascii="宋体" w:eastAsia="宋体"/>
          <w:lang w:val="en-US" w:eastAsia="zh-CN" w:bidi="ar-SA"/>
        </w:rPr>
        <w:t>保持水的流动</w:t>
      </w:r>
      <w:r>
        <w:rPr>
          <w:rFonts w:hint="eastAsia"/>
          <w:lang w:val="en-US" w:eastAsia="zh-CN" w:bidi="ar-SA"/>
        </w:rPr>
        <w:t>，</w:t>
      </w:r>
      <w:r>
        <w:rPr>
          <w:rFonts w:hint="eastAsia" w:ascii="宋体" w:eastAsia="宋体"/>
          <w:lang w:val="en-US" w:eastAsia="zh-CN" w:bidi="ar-SA"/>
        </w:rPr>
        <w:t>控制蚊虫密度。</w:t>
      </w:r>
    </w:p>
    <w:p w14:paraId="221DEB88">
      <w:pPr>
        <w:pStyle w:val="49"/>
        <w:spacing w:before="156" w:after="156"/>
        <w:rPr>
          <w:highlight w:val="none"/>
        </w:rPr>
      </w:pPr>
      <w:r>
        <w:rPr>
          <w:rFonts w:hint="eastAsia"/>
          <w:highlight w:val="none"/>
          <w:lang w:eastAsia="zh-CN"/>
        </w:rPr>
        <w:t>清理积水</w:t>
      </w:r>
    </w:p>
    <w:p w14:paraId="5B3F90FC">
      <w:pPr>
        <w:pStyle w:val="24"/>
        <w:ind w:left="0" w:leftChars="0" w:firstLine="0" w:firstLineChars="0"/>
      </w:pPr>
      <w:r>
        <w:rPr>
          <w:rFonts w:hint="eastAsia" w:ascii="黑体" w:hAnsi="黑体" w:eastAsia="黑体" w:cs="黑体"/>
          <w:lang w:val="en-US" w:eastAsia="zh-CN"/>
        </w:rPr>
        <w:t>6.</w:t>
      </w:r>
      <w:r>
        <w:rPr>
          <w:rFonts w:hint="default" w:ascii="黑体" w:hAnsi="黑体" w:eastAsia="黑体" w:cs="黑体"/>
          <w:lang w:val="en-US" w:eastAsia="zh-CN"/>
        </w:rPr>
        <w:t>1</w:t>
      </w:r>
      <w:r>
        <w:rPr>
          <w:rFonts w:hint="eastAsia" w:ascii="黑体" w:hAnsi="黑体" w:eastAsia="黑体" w:cs="黑体"/>
          <w:lang w:val="en-US" w:eastAsia="zh-CN"/>
        </w:rPr>
        <w:t>.</w:t>
      </w:r>
      <w:r>
        <w:rPr>
          <w:rFonts w:hint="default" w:ascii="黑体" w:hAnsi="黑体" w:eastAsia="黑体" w:cs="黑体"/>
          <w:lang w:val="en-US" w:eastAsia="zh-CN"/>
        </w:rPr>
        <w:t>2</w:t>
      </w:r>
      <w:r>
        <w:rPr>
          <w:rFonts w:hint="eastAsia" w:ascii="黑体" w:hAnsi="黑体" w:eastAsia="黑体" w:cs="黑体"/>
          <w:lang w:val="en-US" w:eastAsia="zh-CN"/>
        </w:rPr>
        <w:t>.</w:t>
      </w:r>
      <w:r>
        <w:rPr>
          <w:rFonts w:hint="default" w:ascii="黑体" w:hAnsi="黑体" w:eastAsia="黑体" w:cs="黑体"/>
          <w:lang w:val="en-US" w:eastAsia="zh-CN"/>
        </w:rPr>
        <w:t>1</w:t>
      </w:r>
      <w:r>
        <w:rPr>
          <w:rFonts w:hint="eastAsia" w:ascii="宋体" w:hAnsi="宋体" w:eastAsia="宋体" w:cs="宋体"/>
          <w:lang w:val="en-US" w:eastAsia="zh-CN"/>
        </w:rPr>
        <w:t>　</w:t>
      </w:r>
      <w:r>
        <w:rPr>
          <w:rFonts w:hint="eastAsia"/>
        </w:rPr>
        <w:t>下水道、排水沟、地沟应保持畅通</w:t>
      </w:r>
      <w:r>
        <w:rPr>
          <w:rFonts w:hint="eastAsia"/>
          <w:lang w:eastAsia="zh-CN"/>
        </w:rPr>
        <w:t>，</w:t>
      </w:r>
      <w:r>
        <w:rPr>
          <w:rFonts w:hint="eastAsia"/>
        </w:rPr>
        <w:t>不堵塞、不积水。</w:t>
      </w:r>
    </w:p>
    <w:p w14:paraId="069DF4AE">
      <w:pPr>
        <w:pStyle w:val="24"/>
        <w:ind w:left="0" w:leftChars="0" w:firstLine="0" w:firstLineChars="0"/>
      </w:pPr>
      <w:r>
        <w:rPr>
          <w:rFonts w:hint="eastAsia" w:ascii="黑体" w:hAnsi="黑体" w:eastAsia="黑体" w:cs="黑体"/>
          <w:lang w:val="en-US" w:eastAsia="zh-CN"/>
        </w:rPr>
        <w:t>6.</w:t>
      </w:r>
      <w:r>
        <w:rPr>
          <w:rFonts w:hint="default" w:ascii="黑体" w:hAnsi="黑体" w:eastAsia="黑体" w:cs="黑体"/>
          <w:lang w:val="en-US" w:eastAsia="zh-CN"/>
        </w:rPr>
        <w:t>1</w:t>
      </w:r>
      <w:r>
        <w:rPr>
          <w:rFonts w:hint="eastAsia" w:ascii="黑体" w:hAnsi="黑体" w:eastAsia="黑体" w:cs="黑体"/>
          <w:lang w:val="en-US" w:eastAsia="zh-CN"/>
        </w:rPr>
        <w:t>.</w:t>
      </w:r>
      <w:r>
        <w:rPr>
          <w:rFonts w:hint="default" w:ascii="黑体" w:hAnsi="黑体" w:eastAsia="黑体" w:cs="黑体"/>
          <w:lang w:val="en-US" w:eastAsia="zh-CN"/>
        </w:rPr>
        <w:t>2</w:t>
      </w:r>
      <w:r>
        <w:rPr>
          <w:rFonts w:hint="eastAsia" w:ascii="黑体" w:hAnsi="黑体" w:eastAsia="黑体" w:cs="黑体"/>
          <w:lang w:val="en-US" w:eastAsia="zh-CN"/>
        </w:rPr>
        <w:t>.</w:t>
      </w:r>
      <w:r>
        <w:rPr>
          <w:rFonts w:hint="default" w:ascii="黑体" w:hAnsi="黑体" w:eastAsia="黑体" w:cs="黑体"/>
          <w:lang w:val="en-US" w:eastAsia="zh-CN"/>
        </w:rPr>
        <w:t>2</w:t>
      </w:r>
      <w:r>
        <w:rPr>
          <w:rFonts w:hint="eastAsia" w:ascii="宋体" w:hAnsi="宋体" w:eastAsia="宋体" w:cs="宋体"/>
          <w:lang w:val="en-US" w:eastAsia="zh-CN"/>
        </w:rPr>
        <w:t>　</w:t>
      </w:r>
      <w:r>
        <w:rPr>
          <w:rFonts w:hint="eastAsia"/>
        </w:rPr>
        <w:t>置于室外的闲置花盆、水缸、水桶等容器应逐一倾倒积水后倒置存放。</w:t>
      </w:r>
    </w:p>
    <w:p w14:paraId="53C52E28">
      <w:pPr>
        <w:pStyle w:val="24"/>
        <w:ind w:left="0" w:leftChars="0" w:firstLine="0" w:firstLineChars="0"/>
        <w:rPr>
          <w:rFonts w:hint="eastAsia"/>
        </w:rPr>
      </w:pPr>
      <w:r>
        <w:rPr>
          <w:rFonts w:hint="eastAsia" w:ascii="黑体" w:hAnsi="黑体" w:eastAsia="黑体" w:cs="黑体"/>
          <w:lang w:val="en-US" w:eastAsia="zh-CN"/>
        </w:rPr>
        <w:t>6.</w:t>
      </w:r>
      <w:r>
        <w:rPr>
          <w:rFonts w:hint="default" w:ascii="黑体" w:hAnsi="黑体" w:eastAsia="黑体" w:cs="黑体"/>
          <w:lang w:val="en-US" w:eastAsia="zh-CN"/>
        </w:rPr>
        <w:t>1</w:t>
      </w:r>
      <w:r>
        <w:rPr>
          <w:rFonts w:hint="eastAsia" w:ascii="黑体" w:hAnsi="黑体" w:eastAsia="黑体" w:cs="黑体"/>
          <w:lang w:val="en-US" w:eastAsia="zh-CN"/>
        </w:rPr>
        <w:t>.</w:t>
      </w:r>
      <w:r>
        <w:rPr>
          <w:rFonts w:hint="default" w:ascii="黑体" w:hAnsi="黑体" w:eastAsia="黑体" w:cs="黑体"/>
          <w:lang w:val="en-US" w:eastAsia="zh-CN"/>
        </w:rPr>
        <w:t>2</w:t>
      </w:r>
      <w:r>
        <w:rPr>
          <w:rFonts w:hint="eastAsia" w:ascii="黑体" w:hAnsi="黑体" w:eastAsia="黑体" w:cs="黑体"/>
          <w:lang w:val="en-US" w:eastAsia="zh-CN"/>
        </w:rPr>
        <w:t>.</w:t>
      </w:r>
      <w:r>
        <w:rPr>
          <w:rFonts w:hint="default" w:ascii="黑体" w:hAnsi="黑体" w:eastAsia="黑体" w:cs="黑体"/>
          <w:lang w:val="en-US" w:eastAsia="zh-CN"/>
        </w:rPr>
        <w:t>3</w:t>
      </w:r>
      <w:r>
        <w:rPr>
          <w:rFonts w:hint="eastAsia" w:ascii="宋体" w:hAnsi="宋体" w:eastAsia="宋体" w:cs="宋体"/>
          <w:lang w:val="en-US" w:eastAsia="zh-CN"/>
        </w:rPr>
        <w:t>　</w:t>
      </w:r>
      <w:r>
        <w:rPr>
          <w:rFonts w:hint="eastAsia"/>
        </w:rPr>
        <w:t>绿化带内应及时清理暴露垃圾与枯枝败叶</w:t>
      </w:r>
      <w:r>
        <w:rPr>
          <w:rFonts w:hint="eastAsia"/>
          <w:lang w:eastAsia="zh-CN"/>
        </w:rPr>
        <w:t>，</w:t>
      </w:r>
      <w:r>
        <w:rPr>
          <w:rFonts w:hint="eastAsia"/>
        </w:rPr>
        <w:t>垃圾桶应当加盖。</w:t>
      </w:r>
    </w:p>
    <w:p w14:paraId="671DECCC">
      <w:pPr>
        <w:pStyle w:val="24"/>
        <w:ind w:left="0" w:leftChars="0" w:firstLine="0" w:firstLineChars="0"/>
        <w:rPr>
          <w:rFonts w:ascii="宋体" w:eastAsia="宋体"/>
          <w:sz w:val="21"/>
          <w:lang w:val="en-US" w:eastAsia="zh-CN" w:bidi="ar-SA"/>
        </w:rPr>
      </w:pPr>
      <w:r>
        <w:rPr>
          <w:rFonts w:hint="eastAsia" w:ascii="黑体" w:hAnsi="黑体" w:eastAsia="黑体" w:cs="黑体"/>
          <w:lang w:val="en-US" w:eastAsia="zh-CN"/>
        </w:rPr>
        <w:t>6.</w:t>
      </w:r>
      <w:r>
        <w:rPr>
          <w:rFonts w:hint="default" w:ascii="黑体" w:hAnsi="黑体" w:eastAsia="黑体" w:cs="黑体"/>
          <w:lang w:val="en-US" w:eastAsia="zh-CN"/>
        </w:rPr>
        <w:t>1</w:t>
      </w:r>
      <w:r>
        <w:rPr>
          <w:rFonts w:hint="eastAsia" w:ascii="黑体" w:hAnsi="黑体" w:eastAsia="黑体" w:cs="黑体"/>
          <w:lang w:val="en-US" w:eastAsia="zh-CN"/>
        </w:rPr>
        <w:t>.</w:t>
      </w:r>
      <w:r>
        <w:rPr>
          <w:rFonts w:hint="default" w:ascii="黑体" w:hAnsi="黑体" w:eastAsia="黑体" w:cs="黑体"/>
          <w:lang w:val="en-US" w:eastAsia="zh-CN"/>
        </w:rPr>
        <w:t>2</w:t>
      </w:r>
      <w:r>
        <w:rPr>
          <w:rFonts w:hint="eastAsia" w:ascii="黑体" w:hAnsi="黑体" w:eastAsia="黑体" w:cs="黑体"/>
          <w:lang w:val="en-US" w:eastAsia="zh-CN"/>
        </w:rPr>
        <w:t>.</w:t>
      </w:r>
      <w:r>
        <w:rPr>
          <w:rFonts w:hint="default" w:ascii="黑体" w:hAnsi="黑体" w:eastAsia="黑体" w:cs="黑体"/>
          <w:lang w:val="en-US" w:eastAsia="zh-CN"/>
        </w:rPr>
        <w:t>4</w:t>
      </w:r>
      <w:r>
        <w:rPr>
          <w:rFonts w:hint="eastAsia" w:ascii="宋体" w:hAnsi="宋体" w:eastAsia="宋体" w:cs="宋体"/>
          <w:lang w:val="en-US" w:eastAsia="zh-CN"/>
        </w:rPr>
        <w:t>　</w:t>
      </w:r>
      <w:r>
        <w:rPr>
          <w:rFonts w:ascii="宋体" w:eastAsia="宋体"/>
          <w:sz w:val="21"/>
          <w:lang w:val="en-US" w:eastAsia="zh-CN" w:bidi="ar-SA"/>
        </w:rPr>
        <w:t>在蚊虫孳生繁殖的高峰期，水培植物容器应每2天</w:t>
      </w:r>
      <w:r>
        <w:rPr>
          <w:rFonts w:hint="eastAsia"/>
          <w:sz w:val="21"/>
          <w:lang w:val="en-US" w:eastAsia="zh-CN" w:bidi="ar-SA"/>
        </w:rPr>
        <w:t>—</w:t>
      </w:r>
      <w:r>
        <w:rPr>
          <w:rFonts w:ascii="宋体" w:eastAsia="宋体"/>
          <w:sz w:val="21"/>
          <w:lang w:val="en-US" w:eastAsia="zh-CN" w:bidi="ar-SA"/>
        </w:rPr>
        <w:t>3天换水1次，并冲洗植物根部，彻底洗刷容器内壁；花盆托盘积水应及时清理。</w:t>
      </w:r>
    </w:p>
    <w:p w14:paraId="38BD65E5">
      <w:pPr>
        <w:pStyle w:val="24"/>
        <w:ind w:left="0" w:leftChars="0" w:firstLine="0" w:firstLineChars="0"/>
        <w:rPr>
          <w:rFonts w:hint="eastAsia"/>
        </w:rPr>
      </w:pPr>
      <w:r>
        <w:rPr>
          <w:rFonts w:hint="eastAsia" w:ascii="黑体" w:hAnsi="黑体" w:eastAsia="黑体" w:cs="黑体"/>
          <w:lang w:val="en-US" w:eastAsia="zh-CN"/>
        </w:rPr>
        <w:t>6.</w:t>
      </w:r>
      <w:r>
        <w:rPr>
          <w:rFonts w:hint="default" w:ascii="黑体" w:hAnsi="黑体" w:eastAsia="黑体" w:cs="黑体"/>
          <w:lang w:val="en-US" w:eastAsia="zh-CN"/>
        </w:rPr>
        <w:t>1</w:t>
      </w:r>
      <w:r>
        <w:rPr>
          <w:rFonts w:hint="eastAsia" w:ascii="黑体" w:hAnsi="黑体" w:eastAsia="黑体" w:cs="黑体"/>
          <w:lang w:val="en-US" w:eastAsia="zh-CN"/>
        </w:rPr>
        <w:t>.</w:t>
      </w:r>
      <w:r>
        <w:rPr>
          <w:rFonts w:hint="default" w:ascii="黑体" w:hAnsi="黑体" w:eastAsia="黑体" w:cs="黑体"/>
          <w:lang w:val="en-US" w:eastAsia="zh-CN"/>
        </w:rPr>
        <w:t>2</w:t>
      </w:r>
      <w:r>
        <w:rPr>
          <w:rFonts w:hint="eastAsia" w:ascii="黑体" w:hAnsi="黑体" w:eastAsia="黑体" w:cs="黑体"/>
          <w:lang w:val="en-US" w:eastAsia="zh-CN"/>
        </w:rPr>
        <w:t>.</w:t>
      </w:r>
      <w:r>
        <w:rPr>
          <w:rFonts w:hint="default" w:ascii="黑体" w:hAnsi="黑体" w:eastAsia="黑体" w:cs="黑体"/>
          <w:lang w:val="en-US" w:eastAsia="zh-CN"/>
        </w:rPr>
        <w:t>5</w:t>
      </w:r>
      <w:r>
        <w:rPr>
          <w:rFonts w:hint="eastAsia" w:ascii="宋体" w:hAnsi="宋体" w:eastAsia="宋体" w:cs="宋体"/>
          <w:lang w:val="en-US" w:eastAsia="zh-CN"/>
        </w:rPr>
        <w:t>　</w:t>
      </w:r>
      <w:r>
        <w:rPr>
          <w:rFonts w:hint="eastAsia"/>
        </w:rPr>
        <w:t>可采用有效的建筑结构材料修补填平各种因破损、凹陷导致的坑洼积水</w:t>
      </w:r>
      <w:r>
        <w:rPr>
          <w:rFonts w:hint="eastAsia"/>
          <w:lang w:eastAsia="zh-CN"/>
        </w:rPr>
        <w:t>，</w:t>
      </w:r>
      <w:r>
        <w:rPr>
          <w:rFonts w:hint="eastAsia"/>
        </w:rPr>
        <w:t>无法修补填平的应设置导水槽</w:t>
      </w:r>
      <w:r>
        <w:rPr>
          <w:rFonts w:hint="eastAsia"/>
          <w:lang w:eastAsia="zh-CN"/>
        </w:rPr>
        <w:t>，</w:t>
      </w:r>
      <w:r>
        <w:rPr>
          <w:rFonts w:hint="eastAsia"/>
        </w:rPr>
        <w:t>导水槽应定期疏通和清淤。</w:t>
      </w:r>
    </w:p>
    <w:p w14:paraId="4B77F84D">
      <w:pPr>
        <w:pStyle w:val="49"/>
        <w:spacing w:before="156" w:after="156"/>
        <w:rPr>
          <w:rFonts w:hint="eastAsia"/>
          <w:highlight w:val="none"/>
          <w:lang w:eastAsia="zh-CN"/>
        </w:rPr>
      </w:pPr>
      <w:r>
        <w:rPr>
          <w:rFonts w:hint="eastAsia"/>
          <w:highlight w:val="none"/>
          <w:lang w:eastAsia="zh-CN"/>
        </w:rPr>
        <w:t>储水容器加盖封闭</w:t>
      </w:r>
    </w:p>
    <w:p w14:paraId="1E04055A">
      <w:pPr>
        <w:pStyle w:val="24"/>
        <w:ind w:left="0" w:leftChars="0" w:firstLine="0" w:firstLineChars="0"/>
        <w:rPr>
          <w:rFonts w:hint="eastAsia"/>
        </w:rPr>
      </w:pPr>
      <w:r>
        <w:rPr>
          <w:rFonts w:hint="eastAsia" w:ascii="黑体" w:hAnsi="黑体" w:eastAsia="黑体" w:cs="黑体"/>
          <w:lang w:val="en-US" w:eastAsia="zh-CN"/>
        </w:rPr>
        <w:t>6.</w:t>
      </w:r>
      <w:r>
        <w:rPr>
          <w:rFonts w:hint="default" w:ascii="黑体" w:hAnsi="黑体" w:eastAsia="黑体" w:cs="黑体"/>
          <w:lang w:val="en-US" w:eastAsia="zh-CN"/>
        </w:rPr>
        <w:t>1.3</w:t>
      </w:r>
      <w:r>
        <w:rPr>
          <w:rFonts w:hint="eastAsia" w:ascii="黑体" w:hAnsi="黑体" w:eastAsia="黑体" w:cs="黑体"/>
          <w:lang w:val="en-US" w:eastAsia="zh-CN"/>
        </w:rPr>
        <w:t>.</w:t>
      </w:r>
      <w:r>
        <w:rPr>
          <w:rFonts w:hint="default" w:ascii="黑体" w:hAnsi="黑体" w:eastAsia="黑体" w:cs="黑体"/>
          <w:lang w:val="en-US" w:eastAsia="zh-CN"/>
        </w:rPr>
        <w:t>1</w:t>
      </w:r>
      <w:r>
        <w:rPr>
          <w:rFonts w:hint="eastAsia" w:ascii="宋体" w:hAnsi="宋体" w:eastAsia="宋体" w:cs="宋体"/>
          <w:lang w:val="en-US" w:eastAsia="zh-CN"/>
        </w:rPr>
        <w:t>　</w:t>
      </w:r>
      <w:r>
        <w:rPr>
          <w:rFonts w:hint="eastAsia"/>
        </w:rPr>
        <w:t>蓄水池、消防水池、饮用水容器等功能性储水容器应加盖封闭。</w:t>
      </w:r>
    </w:p>
    <w:p w14:paraId="54CD2F10">
      <w:pPr>
        <w:pStyle w:val="24"/>
        <w:ind w:left="0" w:leftChars="0" w:firstLine="0" w:firstLineChars="0"/>
        <w:rPr>
          <w:rFonts w:hint="eastAsia"/>
        </w:rPr>
      </w:pPr>
      <w:r>
        <w:rPr>
          <w:rFonts w:hint="eastAsia" w:ascii="黑体" w:hAnsi="黑体" w:eastAsia="黑体" w:cs="黑体"/>
          <w:lang w:val="en-US" w:eastAsia="zh-CN"/>
        </w:rPr>
        <w:t>6.</w:t>
      </w:r>
      <w:r>
        <w:rPr>
          <w:rFonts w:hint="default" w:ascii="黑体" w:hAnsi="黑体" w:eastAsia="黑体" w:cs="黑体"/>
          <w:lang w:val="en-US" w:eastAsia="zh-CN"/>
        </w:rPr>
        <w:t>1</w:t>
      </w:r>
      <w:r>
        <w:rPr>
          <w:rFonts w:hint="eastAsia" w:ascii="黑体" w:hAnsi="黑体" w:eastAsia="黑体" w:cs="黑体"/>
          <w:lang w:val="en-US" w:eastAsia="zh-CN"/>
        </w:rPr>
        <w:t>.</w:t>
      </w:r>
      <w:r>
        <w:rPr>
          <w:rFonts w:hint="default" w:ascii="黑体" w:hAnsi="黑体" w:eastAsia="黑体" w:cs="黑体"/>
          <w:lang w:val="en-US" w:eastAsia="zh-CN"/>
        </w:rPr>
        <w:t>3</w:t>
      </w:r>
      <w:r>
        <w:rPr>
          <w:rFonts w:hint="eastAsia" w:ascii="黑体" w:hAnsi="黑体" w:eastAsia="黑体" w:cs="黑体"/>
          <w:lang w:val="en-US" w:eastAsia="zh-CN"/>
        </w:rPr>
        <w:t>.</w:t>
      </w:r>
      <w:r>
        <w:rPr>
          <w:rFonts w:hint="default" w:ascii="黑体" w:hAnsi="黑体" w:eastAsia="黑体" w:cs="黑体"/>
          <w:lang w:val="en-US" w:eastAsia="zh-CN"/>
        </w:rPr>
        <w:t>2</w:t>
      </w:r>
      <w:r>
        <w:rPr>
          <w:rFonts w:hint="eastAsia" w:ascii="宋体" w:hAnsi="宋体" w:eastAsia="宋体" w:cs="宋体"/>
          <w:lang w:val="en-US" w:eastAsia="zh-CN"/>
        </w:rPr>
        <w:t>　</w:t>
      </w:r>
      <w:r>
        <w:rPr>
          <w:rFonts w:hint="eastAsia"/>
        </w:rPr>
        <w:t>使用孔塞封闭各类管道井盖</w:t>
      </w:r>
      <w:r>
        <w:rPr>
          <w:rFonts w:hint="eastAsia"/>
          <w:lang w:eastAsia="zh-CN"/>
        </w:rPr>
        <w:t>，如</w:t>
      </w:r>
      <w:r>
        <w:rPr>
          <w:rFonts w:hint="eastAsia"/>
        </w:rPr>
        <w:t>雨水井、集水井、市政管网井、电梯井</w:t>
      </w:r>
      <w:r>
        <w:rPr>
          <w:rFonts w:hint="eastAsia"/>
          <w:lang w:eastAsia="zh-CN"/>
        </w:rPr>
        <w:t>等，</w:t>
      </w:r>
      <w:r>
        <w:rPr>
          <w:rFonts w:hint="eastAsia"/>
        </w:rPr>
        <w:t>如破损或无法封闭的应及时修复并清理井内积水。</w:t>
      </w:r>
    </w:p>
    <w:p w14:paraId="2865242B">
      <w:pPr>
        <w:pStyle w:val="45"/>
        <w:spacing w:before="156" w:after="156"/>
        <w:rPr>
          <w:rFonts w:hint="default"/>
          <w:highlight w:val="none"/>
          <w:lang w:val="en-US" w:eastAsia="zh-CN"/>
        </w:rPr>
      </w:pPr>
      <w:r>
        <w:rPr>
          <w:rFonts w:hint="eastAsia"/>
          <w:highlight w:val="none"/>
          <w:lang w:val="en-US" w:eastAsia="zh-CN"/>
        </w:rPr>
        <w:t>生物防制</w:t>
      </w:r>
    </w:p>
    <w:p w14:paraId="5DAEF8B6">
      <w:pPr>
        <w:pStyle w:val="24"/>
        <w:rPr>
          <w:rFonts w:hint="default"/>
          <w:lang w:val="en-US" w:eastAsia="zh-CN"/>
        </w:rPr>
      </w:pPr>
      <w:r>
        <w:rPr>
          <w:rFonts w:hint="default"/>
          <w:lang w:val="en-US" w:eastAsia="zh-CN"/>
        </w:rPr>
        <w:t>大中型水体或小型景观水池可放养鱼类进行防蚊</w:t>
      </w:r>
      <w:r>
        <w:rPr>
          <w:rFonts w:hint="eastAsia"/>
          <w:lang w:val="en-US" w:eastAsia="zh-CN"/>
        </w:rPr>
        <w:t>灭蚊；</w:t>
      </w:r>
      <w:r>
        <w:rPr>
          <w:rFonts w:ascii="宋体" w:eastAsia="宋体"/>
          <w:sz w:val="21"/>
          <w:szCs w:val="20"/>
          <w:lang w:val="en-US" w:eastAsia="zh-CN" w:bidi="ar-SA"/>
        </w:rPr>
        <w:t>水道、集水井、雨水井、景观水体等无法清除积水中可使用</w:t>
      </w:r>
      <w:r>
        <w:rPr>
          <w:rFonts w:hint="default"/>
          <w:lang w:val="en-US" w:eastAsia="zh-CN"/>
        </w:rPr>
        <w:t>昆虫生长调节剂、微生物灭蚊剂等生物制剂。</w:t>
      </w:r>
    </w:p>
    <w:p w14:paraId="2538D624">
      <w:pPr>
        <w:pStyle w:val="45"/>
        <w:spacing w:before="156" w:after="156"/>
        <w:rPr>
          <w:highlight w:val="none"/>
        </w:rPr>
      </w:pPr>
      <w:r>
        <w:rPr>
          <w:rFonts w:hint="eastAsia"/>
          <w:highlight w:val="none"/>
        </w:rPr>
        <w:t>物理防制</w:t>
      </w:r>
    </w:p>
    <w:p w14:paraId="0A336874">
      <w:pPr>
        <w:pStyle w:val="24"/>
        <w:ind w:left="0" w:leftChars="0" w:firstLine="0" w:firstLineChars="0"/>
        <w:rPr>
          <w:rFonts w:hint="eastAsia"/>
        </w:rPr>
      </w:pPr>
      <w:r>
        <w:rPr>
          <w:rFonts w:hint="eastAsia" w:ascii="黑体" w:hAnsi="黑体" w:eastAsia="黑体" w:cs="黑体"/>
          <w:lang w:val="en-US" w:eastAsia="zh-CN"/>
        </w:rPr>
        <w:t>6.3.1　</w:t>
      </w:r>
      <w:r>
        <w:rPr>
          <w:rFonts w:hint="eastAsia"/>
          <w:lang w:eastAsia="zh-CN"/>
        </w:rPr>
        <w:t>室内门窗</w:t>
      </w:r>
      <w:r>
        <w:rPr>
          <w:rFonts w:hint="eastAsia"/>
        </w:rPr>
        <w:t>区域应合理安装纱门纱窗等设施</w:t>
      </w:r>
      <w:r>
        <w:rPr>
          <w:rFonts w:hint="eastAsia"/>
          <w:lang w:eastAsia="zh-CN"/>
        </w:rPr>
        <w:t>，</w:t>
      </w:r>
      <w:r>
        <w:rPr>
          <w:rFonts w:hint="eastAsia"/>
        </w:rPr>
        <w:t>阻止蚊虫在孳生繁殖季节侵入室内、骚扰吸血。纱门纱窗的网眼密度应</w:t>
      </w:r>
      <w:r>
        <w:rPr>
          <w:rFonts w:hint="eastAsia"/>
          <w:lang w:eastAsia="zh-CN"/>
        </w:rPr>
        <w:t>纵向</w:t>
      </w:r>
      <w:r>
        <w:rPr>
          <w:rFonts w:hint="eastAsia" w:ascii="东文宋体" w:hAnsi="东文宋体" w:eastAsia="东文宋体" w:cs="东文宋体"/>
          <w:lang w:val="en-US" w:eastAsia="zh-CN"/>
        </w:rPr>
        <w:t>≥</w:t>
      </w:r>
      <w:r>
        <w:rPr>
          <w:rFonts w:hint="eastAsia"/>
          <w:lang w:val="en-US" w:eastAsia="zh-CN"/>
        </w:rPr>
        <w:t>16孔/5cm、横向</w:t>
      </w:r>
      <w:r>
        <w:rPr>
          <w:rFonts w:hint="eastAsia" w:ascii="东文宋体" w:hAnsi="东文宋体" w:eastAsia="东文宋体" w:cs="东文宋体"/>
          <w:lang w:val="en-US" w:eastAsia="zh-CN"/>
        </w:rPr>
        <w:t>≥</w:t>
      </w:r>
      <w:r>
        <w:rPr>
          <w:rFonts w:hint="eastAsia"/>
          <w:lang w:val="en-US" w:eastAsia="zh-CN"/>
        </w:rPr>
        <w:t>16孔/5cm</w:t>
      </w:r>
      <w:r>
        <w:rPr>
          <w:rFonts w:hint="eastAsia"/>
        </w:rPr>
        <w:t>。</w:t>
      </w:r>
    </w:p>
    <w:p w14:paraId="5A8DFC82">
      <w:pPr>
        <w:pStyle w:val="24"/>
        <w:ind w:left="0" w:leftChars="0" w:firstLine="0" w:firstLineChars="0"/>
        <w:rPr>
          <w:rFonts w:hint="default" w:eastAsia="宋体"/>
          <w:lang w:val="en-US" w:eastAsia="zh-CN"/>
        </w:rPr>
      </w:pPr>
      <w:r>
        <w:rPr>
          <w:rFonts w:hint="eastAsia" w:ascii="黑体" w:hAnsi="黑体" w:eastAsia="黑体" w:cs="黑体"/>
          <w:lang w:val="en-US" w:eastAsia="zh-CN"/>
        </w:rPr>
        <w:t>6.3.</w:t>
      </w:r>
      <w:r>
        <w:rPr>
          <w:rFonts w:hint="default" w:ascii="黑体" w:hAnsi="黑体" w:eastAsia="黑体" w:cs="黑体"/>
          <w:lang w:val="en-US" w:eastAsia="zh-CN"/>
        </w:rPr>
        <w:t>2</w:t>
      </w:r>
      <w:r>
        <w:rPr>
          <w:rFonts w:hint="eastAsia" w:ascii="黑体" w:hAnsi="黑体" w:eastAsia="黑体" w:cs="黑体"/>
          <w:lang w:val="en-US" w:eastAsia="zh-CN"/>
        </w:rPr>
        <w:t>　</w:t>
      </w:r>
      <w:r>
        <w:rPr>
          <w:rFonts w:hint="eastAsia"/>
          <w:lang w:eastAsia="zh-CN"/>
        </w:rPr>
        <w:t>室内使用网眼密度纵向</w:t>
      </w:r>
      <w:r>
        <w:rPr>
          <w:rFonts w:hint="eastAsia" w:ascii="东文宋体" w:hAnsi="东文宋体" w:eastAsia="东文宋体" w:cs="东文宋体"/>
          <w:lang w:val="en-US" w:eastAsia="zh-CN"/>
        </w:rPr>
        <w:t>≥</w:t>
      </w:r>
      <w:r>
        <w:rPr>
          <w:rFonts w:hint="eastAsia"/>
          <w:lang w:val="en-US" w:eastAsia="zh-CN"/>
        </w:rPr>
        <w:t>16孔/5cm、横向</w:t>
      </w:r>
      <w:r>
        <w:rPr>
          <w:rFonts w:hint="eastAsia" w:ascii="东文宋体" w:hAnsi="东文宋体" w:eastAsia="东文宋体" w:cs="东文宋体"/>
          <w:lang w:val="en-US" w:eastAsia="zh-CN"/>
        </w:rPr>
        <w:t>≥</w:t>
      </w:r>
      <w:r>
        <w:rPr>
          <w:rFonts w:hint="eastAsia"/>
          <w:lang w:val="en-US" w:eastAsia="zh-CN"/>
        </w:rPr>
        <w:t>16孔/5cm的蚊帐。</w:t>
      </w:r>
    </w:p>
    <w:p w14:paraId="405436B6">
      <w:pPr>
        <w:pStyle w:val="24"/>
        <w:ind w:left="0" w:leftChars="0" w:firstLine="0" w:firstLineChars="0"/>
        <w:rPr>
          <w:rFonts w:hint="eastAsia"/>
        </w:rPr>
      </w:pPr>
      <w:r>
        <w:rPr>
          <w:rFonts w:hint="eastAsia" w:ascii="黑体" w:hAnsi="黑体" w:eastAsia="黑体" w:cs="黑体"/>
          <w:lang w:val="en-US" w:eastAsia="zh-CN"/>
        </w:rPr>
        <w:t>6.3.</w:t>
      </w:r>
      <w:r>
        <w:rPr>
          <w:rFonts w:hint="default" w:ascii="黑体" w:hAnsi="黑体" w:eastAsia="黑体" w:cs="黑体"/>
          <w:lang w:val="en-US" w:eastAsia="zh-CN"/>
        </w:rPr>
        <w:t>3</w:t>
      </w:r>
      <w:r>
        <w:rPr>
          <w:rFonts w:hint="eastAsia" w:ascii="黑体" w:hAnsi="黑体" w:eastAsia="黑体" w:cs="黑体"/>
          <w:lang w:val="en-US" w:eastAsia="zh-CN"/>
        </w:rPr>
        <w:t>　</w:t>
      </w:r>
      <w:r>
        <w:rPr>
          <w:rFonts w:hint="eastAsia"/>
        </w:rPr>
        <w:t>室外可在蚊虫活动频繁区域或场所</w:t>
      </w:r>
      <w:r>
        <w:rPr>
          <w:rFonts w:hint="eastAsia"/>
          <w:lang w:eastAsia="zh-CN"/>
        </w:rPr>
        <w:t>，</w:t>
      </w:r>
      <w:r>
        <w:rPr>
          <w:rFonts w:hint="eastAsia"/>
        </w:rPr>
        <w:t>根据成蚊习性设置诱蚊灯对成蚊进行诱杀。室内可使用手持电蚊拍击打。</w:t>
      </w:r>
    </w:p>
    <w:p w14:paraId="2A898B9A">
      <w:pPr>
        <w:pStyle w:val="24"/>
        <w:ind w:left="0" w:leftChars="0" w:firstLine="0" w:firstLineChars="0"/>
        <w:rPr>
          <w:rFonts w:hint="eastAsia" w:eastAsia="宋体"/>
          <w:lang w:eastAsia="zh-CN"/>
        </w:rPr>
      </w:pPr>
      <w:r>
        <w:rPr>
          <w:rFonts w:hint="eastAsia" w:ascii="黑体" w:hAnsi="黑体" w:eastAsia="黑体" w:cs="黑体"/>
          <w:lang w:val="en-US" w:eastAsia="zh-CN"/>
        </w:rPr>
        <w:t>6.3.</w:t>
      </w:r>
      <w:r>
        <w:rPr>
          <w:rFonts w:hint="default" w:ascii="黑体" w:hAnsi="黑体" w:eastAsia="黑体" w:cs="黑体"/>
          <w:lang w:val="en-US" w:eastAsia="zh-CN"/>
        </w:rPr>
        <w:t>4</w:t>
      </w:r>
      <w:r>
        <w:rPr>
          <w:rFonts w:hint="eastAsia" w:ascii="黑体" w:hAnsi="黑体" w:eastAsia="黑体" w:cs="黑体"/>
          <w:lang w:val="en-US" w:eastAsia="zh-CN"/>
        </w:rPr>
        <w:t>　</w:t>
      </w:r>
      <w:r>
        <w:rPr>
          <w:rFonts w:hint="eastAsia"/>
          <w:lang w:eastAsia="zh-CN"/>
        </w:rPr>
        <w:t>食品和药品加工、存放及销售场所，应安装粘捕式杀虫灯。</w:t>
      </w:r>
    </w:p>
    <w:p w14:paraId="49DA60AC">
      <w:pPr>
        <w:pStyle w:val="24"/>
        <w:ind w:left="0" w:leftChars="0" w:firstLine="0" w:firstLineChars="0"/>
        <w:rPr>
          <w:rFonts w:hint="eastAsia"/>
          <w:lang w:eastAsia="zh-CN"/>
        </w:rPr>
      </w:pPr>
      <w:r>
        <w:rPr>
          <w:rFonts w:hint="eastAsia" w:ascii="黑体" w:hAnsi="黑体" w:eastAsia="黑体" w:cs="黑体"/>
          <w:lang w:val="en-US" w:eastAsia="zh-CN"/>
        </w:rPr>
        <w:t>6.3.</w:t>
      </w:r>
      <w:r>
        <w:rPr>
          <w:rFonts w:hint="default" w:ascii="黑体" w:hAnsi="黑体" w:eastAsia="黑体" w:cs="黑体"/>
          <w:lang w:val="en-US" w:eastAsia="zh-CN"/>
        </w:rPr>
        <w:t>5</w:t>
      </w:r>
      <w:r>
        <w:rPr>
          <w:rFonts w:hint="eastAsia" w:ascii="黑体" w:hAnsi="黑体" w:eastAsia="黑体" w:cs="黑体"/>
          <w:lang w:val="en-US" w:eastAsia="zh-CN"/>
        </w:rPr>
        <w:t>　</w:t>
      </w:r>
      <w:r>
        <w:rPr>
          <w:rFonts w:hint="eastAsia"/>
          <w:lang w:eastAsia="zh-CN"/>
        </w:rPr>
        <w:t>排水口安装防蚊闸或其他防蚊设施。</w:t>
      </w:r>
    </w:p>
    <w:p w14:paraId="242879EF">
      <w:pPr>
        <w:pStyle w:val="24"/>
        <w:ind w:left="0" w:leftChars="0" w:firstLine="0" w:firstLineChars="0"/>
        <w:rPr>
          <w:rFonts w:hint="eastAsia" w:eastAsia="宋体"/>
          <w:lang w:val="en-US" w:eastAsia="zh-CN"/>
        </w:rPr>
      </w:pPr>
      <w:r>
        <w:rPr>
          <w:rFonts w:hint="eastAsia" w:ascii="黑体" w:hAnsi="黑体" w:eastAsia="黑体" w:cs="黑体"/>
          <w:lang w:val="en-US" w:eastAsia="zh-CN"/>
        </w:rPr>
        <w:t>6.3.6　</w:t>
      </w:r>
      <w:r>
        <w:rPr>
          <w:rFonts w:hint="eastAsia"/>
          <w:lang w:val="en-US" w:eastAsia="zh-CN"/>
        </w:rPr>
        <w:t>牲畜棚可以安装防蚊帐，</w:t>
      </w:r>
      <w:r>
        <w:rPr>
          <w:rFonts w:hint="eastAsia"/>
        </w:rPr>
        <w:t>阻止蚊虫</w:t>
      </w:r>
      <w:r>
        <w:rPr>
          <w:rFonts w:hint="eastAsia"/>
          <w:lang w:eastAsia="zh-CN"/>
        </w:rPr>
        <w:t>叮咬家畜。</w:t>
      </w:r>
    </w:p>
    <w:p w14:paraId="4413407F">
      <w:pPr>
        <w:pStyle w:val="45"/>
        <w:bidi w:val="0"/>
        <w:ind w:left="0" w:leftChars="0" w:firstLine="0" w:firstLineChars="0"/>
      </w:pPr>
      <w:r>
        <w:rPr>
          <w:rFonts w:hint="eastAsia"/>
        </w:rPr>
        <w:t>化学防制</w:t>
      </w:r>
    </w:p>
    <w:p w14:paraId="43DB24CF">
      <w:pPr>
        <w:pStyle w:val="24"/>
        <w:ind w:left="0" w:leftChars="0" w:firstLine="0" w:firstLineChars="0"/>
        <w:rPr>
          <w:rFonts w:hint="eastAsia" w:eastAsia="宋体"/>
          <w:lang w:eastAsia="zh-CN"/>
        </w:rPr>
      </w:pPr>
      <w:r>
        <w:rPr>
          <w:rFonts w:hint="eastAsia" w:ascii="黑体" w:hAnsi="黑体" w:eastAsia="黑体" w:cs="黑体"/>
          <w:lang w:val="en-US" w:eastAsia="zh-CN"/>
        </w:rPr>
        <w:t>6.</w:t>
      </w:r>
      <w:r>
        <w:rPr>
          <w:rFonts w:hint="default" w:ascii="黑体" w:hAnsi="黑体" w:eastAsia="黑体" w:cs="黑体"/>
          <w:lang w:val="en-US" w:eastAsia="zh-CN"/>
        </w:rPr>
        <w:t>4</w:t>
      </w:r>
      <w:r>
        <w:rPr>
          <w:rFonts w:hint="eastAsia" w:ascii="黑体" w:hAnsi="黑体" w:eastAsia="黑体" w:cs="黑体"/>
          <w:lang w:val="en-US" w:eastAsia="zh-CN"/>
        </w:rPr>
        <w:t>.1　</w:t>
      </w:r>
      <w:r>
        <w:rPr>
          <w:rFonts w:hint="default" w:ascii="宋体" w:hAnsi="Times New Roman" w:eastAsia="宋体" w:cs="Times New Roman"/>
          <w:sz w:val="21"/>
          <w:lang w:val="en-US" w:eastAsia="zh-CN" w:bidi="ar-SA"/>
        </w:rPr>
        <w:t>在</w:t>
      </w:r>
      <w:r>
        <w:rPr>
          <w:rFonts w:ascii="宋体" w:hAnsi="Times New Roman" w:eastAsia="宋体" w:cs="Times New Roman"/>
          <w:sz w:val="21"/>
          <w:lang w:val="en-US" w:eastAsia="zh-CN" w:bidi="ar-SA"/>
        </w:rPr>
        <w:t>突发病媒生物传染病疫情或病媒生物密度季节性升高时，</w:t>
      </w:r>
      <w:r>
        <w:rPr>
          <w:rFonts w:ascii="宋体" w:eastAsia="宋体"/>
          <w:sz w:val="21"/>
          <w:lang w:val="en-US" w:eastAsia="zh-CN" w:bidi="ar-SA"/>
        </w:rPr>
        <w:t>可采用空间喷雾</w:t>
      </w:r>
      <w:r>
        <w:rPr>
          <w:rFonts w:ascii="宋体" w:hAnsi="Times New Roman" w:eastAsia="宋体" w:cs="Times New Roman"/>
          <w:sz w:val="21"/>
          <w:lang w:val="en-US" w:eastAsia="zh-CN" w:bidi="ar-SA"/>
        </w:rPr>
        <w:t>快速杀灭成蚊</w:t>
      </w:r>
      <w:r>
        <w:rPr>
          <w:rFonts w:ascii="宋体" w:eastAsia="宋体"/>
          <w:sz w:val="21"/>
          <w:lang w:val="en-US" w:eastAsia="zh-CN" w:bidi="ar-SA"/>
        </w:rPr>
        <w:t>。操作应符合GB/T 31714中要求。</w:t>
      </w:r>
    </w:p>
    <w:p w14:paraId="60C41A89">
      <w:pPr>
        <w:pStyle w:val="24"/>
        <w:ind w:left="0" w:leftChars="0" w:firstLine="0" w:firstLineChars="0"/>
        <w:rPr>
          <w:rFonts w:hint="eastAsia"/>
          <w:lang w:eastAsia="zh-CN"/>
        </w:rPr>
      </w:pPr>
      <w:r>
        <w:rPr>
          <w:rFonts w:hint="eastAsia" w:ascii="黑体" w:hAnsi="黑体" w:eastAsia="黑体" w:cs="黑体"/>
          <w:lang w:val="en-US" w:eastAsia="zh-CN"/>
        </w:rPr>
        <w:t>6.</w:t>
      </w:r>
      <w:r>
        <w:rPr>
          <w:rFonts w:hint="default" w:ascii="黑体" w:hAnsi="黑体" w:eastAsia="黑体" w:cs="黑体"/>
          <w:lang w:val="en-US" w:eastAsia="zh-CN"/>
        </w:rPr>
        <w:t>4</w:t>
      </w:r>
      <w:r>
        <w:rPr>
          <w:rFonts w:hint="eastAsia" w:ascii="黑体" w:hAnsi="黑体" w:eastAsia="黑体" w:cs="黑体"/>
          <w:lang w:val="en-US" w:eastAsia="zh-CN"/>
        </w:rPr>
        <w:t>.</w:t>
      </w:r>
      <w:r>
        <w:rPr>
          <w:rFonts w:hint="default" w:ascii="黑体" w:hAnsi="黑体" w:eastAsia="黑体" w:cs="黑体"/>
          <w:lang w:val="en-US" w:eastAsia="zh-CN"/>
        </w:rPr>
        <w:t>2</w:t>
      </w:r>
      <w:r>
        <w:rPr>
          <w:rFonts w:hint="eastAsia" w:ascii="黑体" w:hAnsi="黑体" w:eastAsia="黑体" w:cs="黑体"/>
          <w:lang w:val="en-US" w:eastAsia="zh-CN"/>
        </w:rPr>
        <w:t>　</w:t>
      </w:r>
      <w:r>
        <w:rPr>
          <w:rFonts w:hint="eastAsia"/>
          <w:lang w:eastAsia="zh-CN"/>
        </w:rPr>
        <w:t>室外</w:t>
      </w:r>
      <w:r>
        <w:rPr>
          <w:rFonts w:hint="eastAsia"/>
          <w:lang w:val="en-US" w:eastAsia="zh-CN"/>
        </w:rPr>
        <w:t>绿篱、</w:t>
      </w:r>
      <w:r>
        <w:rPr>
          <w:rFonts w:hint="eastAsia"/>
          <w:lang w:eastAsia="zh-CN"/>
        </w:rPr>
        <w:t>垃圾桶周边、门及通道周边墙面可采用长效低毒药物滞留喷洒方式进行化学防制，操作应符合GB/T</w:t>
      </w:r>
      <w:r>
        <w:rPr>
          <w:rFonts w:hint="eastAsia"/>
          <w:lang w:val="en-US" w:eastAsia="zh-CN"/>
        </w:rPr>
        <w:t xml:space="preserve"> </w:t>
      </w:r>
      <w:r>
        <w:rPr>
          <w:rFonts w:hint="eastAsia"/>
          <w:lang w:eastAsia="zh-CN"/>
        </w:rPr>
        <w:t>31715中要求。</w:t>
      </w:r>
    </w:p>
    <w:p w14:paraId="0AF7B8C9">
      <w:pPr>
        <w:pStyle w:val="24"/>
        <w:ind w:left="0" w:leftChars="0" w:firstLine="0" w:firstLineChars="0"/>
        <w:rPr>
          <w:rFonts w:hint="eastAsia" w:ascii="宋体" w:hAnsi="Times New Roman" w:eastAsia="宋体" w:cs="Times New Roman"/>
          <w:sz w:val="21"/>
          <w:highlight w:val="none"/>
          <w:lang w:val="en-US" w:eastAsia="zh-CN" w:bidi="ar-SA"/>
        </w:rPr>
      </w:pPr>
      <w:r>
        <w:rPr>
          <w:rFonts w:hint="eastAsia" w:ascii="黑体" w:hAnsi="黑体" w:eastAsia="黑体" w:cs="黑体"/>
          <w:lang w:val="en-US" w:eastAsia="zh-CN"/>
        </w:rPr>
        <w:t>6.</w:t>
      </w:r>
      <w:r>
        <w:rPr>
          <w:rFonts w:hint="default" w:ascii="黑体" w:hAnsi="黑体" w:eastAsia="黑体" w:cs="黑体"/>
          <w:lang w:val="en-US" w:eastAsia="zh-CN"/>
        </w:rPr>
        <w:t>4</w:t>
      </w:r>
      <w:r>
        <w:rPr>
          <w:rFonts w:hint="eastAsia" w:ascii="黑体" w:hAnsi="黑体" w:eastAsia="黑体" w:cs="黑体"/>
          <w:lang w:val="en-US" w:eastAsia="zh-CN"/>
        </w:rPr>
        <w:t>.</w:t>
      </w:r>
      <w:r>
        <w:rPr>
          <w:rFonts w:hint="default" w:ascii="黑体" w:hAnsi="黑体" w:eastAsia="黑体" w:cs="黑体"/>
          <w:lang w:val="en-US" w:eastAsia="zh-CN"/>
        </w:rPr>
        <w:t>3</w:t>
      </w:r>
      <w:r>
        <w:rPr>
          <w:rFonts w:hint="eastAsia" w:ascii="黑体" w:hAnsi="黑体" w:eastAsia="黑体" w:cs="黑体"/>
          <w:lang w:val="en-US" w:eastAsia="zh-CN"/>
        </w:rPr>
        <w:t>　</w:t>
      </w:r>
      <w:r>
        <w:rPr>
          <w:rFonts w:hint="eastAsia" w:ascii="宋体" w:hAnsi="Times New Roman" w:eastAsia="宋体" w:cs="Times New Roman"/>
          <w:sz w:val="21"/>
          <w:highlight w:val="none"/>
          <w:lang w:val="en-US" w:eastAsia="zh-CN" w:bidi="ar-SA"/>
        </w:rPr>
        <w:t>电梯井、集水井</w:t>
      </w:r>
      <w:r>
        <w:rPr>
          <w:rFonts w:hint="eastAsia" w:cs="Times New Roman"/>
          <w:sz w:val="21"/>
          <w:highlight w:val="none"/>
          <w:lang w:val="en-US" w:eastAsia="zh-CN" w:bidi="ar-SA"/>
        </w:rPr>
        <w:t>、窨井</w:t>
      </w:r>
      <w:r>
        <w:rPr>
          <w:rFonts w:hint="eastAsia" w:ascii="宋体" w:hAnsi="Times New Roman" w:eastAsia="宋体" w:cs="Times New Roman"/>
          <w:sz w:val="21"/>
          <w:highlight w:val="none"/>
          <w:lang w:val="en-US" w:eastAsia="zh-CN" w:bidi="ar-SA"/>
        </w:rPr>
        <w:t>等不能及时清除的积水或流速缓慢的雨水井、污水井、下水道、排水沟及盆栽水生植物容器等非饮用积水可投放化学灭蚊幼制剂。</w:t>
      </w:r>
    </w:p>
    <w:p w14:paraId="483A99EC">
      <w:pPr>
        <w:pStyle w:val="24"/>
        <w:ind w:left="0" w:leftChars="0" w:firstLine="0" w:firstLineChars="0"/>
        <w:rPr>
          <w:rFonts w:hint="default" w:ascii="宋体" w:hAnsi="Times New Roman" w:eastAsia="宋体" w:cs="Times New Roman"/>
          <w:sz w:val="21"/>
          <w:highlight w:val="none"/>
          <w:lang w:val="en-US" w:eastAsia="zh-CN" w:bidi="ar-SA"/>
        </w:rPr>
      </w:pPr>
      <w:r>
        <w:rPr>
          <w:rFonts w:hint="eastAsia" w:ascii="黑体" w:hAnsi="黑体" w:eastAsia="黑体" w:cs="黑体"/>
          <w:lang w:val="en-US" w:eastAsia="zh-CN"/>
        </w:rPr>
        <w:t>6.</w:t>
      </w:r>
      <w:r>
        <w:rPr>
          <w:rFonts w:hint="default" w:ascii="黑体" w:hAnsi="黑体" w:eastAsia="黑体" w:cs="黑体"/>
          <w:lang w:val="en-US" w:eastAsia="zh-CN"/>
        </w:rPr>
        <w:t>4</w:t>
      </w:r>
      <w:r>
        <w:rPr>
          <w:rFonts w:hint="eastAsia" w:ascii="黑体" w:hAnsi="黑体" w:eastAsia="黑体" w:cs="黑体"/>
          <w:lang w:val="en-US" w:eastAsia="zh-CN"/>
        </w:rPr>
        <w:t>.4　</w:t>
      </w:r>
      <w:r>
        <w:rPr>
          <w:rFonts w:hint="eastAsia"/>
          <w:highlight w:val="none"/>
        </w:rPr>
        <w:t>越冬蚊密集的隐蔽且相对密闭场所</w:t>
      </w:r>
      <w:r>
        <w:rPr>
          <w:rFonts w:hint="eastAsia"/>
          <w:highlight w:val="none"/>
          <w:lang w:eastAsia="zh-CN"/>
        </w:rPr>
        <w:t>，</w:t>
      </w:r>
      <w:r>
        <w:rPr>
          <w:rFonts w:hint="eastAsia"/>
          <w:highlight w:val="none"/>
          <w:lang w:val="en-US" w:eastAsia="zh-CN"/>
        </w:rPr>
        <w:t>如暖气井、地下室等</w:t>
      </w:r>
      <w:r>
        <w:rPr>
          <w:rFonts w:hint="eastAsia"/>
          <w:highlight w:val="none"/>
          <w:lang w:eastAsia="zh-CN"/>
        </w:rPr>
        <w:t>，</w:t>
      </w:r>
      <w:r>
        <w:rPr>
          <w:rFonts w:hint="eastAsia"/>
          <w:highlight w:val="none"/>
        </w:rPr>
        <w:t>可采用‌热烟雾喷雾法进行熏杀灭成蚊。‌</w:t>
      </w:r>
    </w:p>
    <w:p w14:paraId="6E320E6C">
      <w:pPr>
        <w:pStyle w:val="48"/>
        <w:numPr>
          <w:ilvl w:val="0"/>
          <w:numId w:val="0"/>
        </w:numPr>
        <w:spacing w:before="312" w:after="312"/>
        <w:ind w:leftChars="0"/>
        <w:rPr>
          <w:highlight w:val="none"/>
        </w:rPr>
      </w:pPr>
      <w:r>
        <w:rPr>
          <w:rFonts w:hint="eastAsia"/>
          <w:highlight w:val="none"/>
          <w:lang w:val="en-US" w:eastAsia="zh-CN"/>
        </w:rPr>
        <w:t>7</w:t>
      </w:r>
      <w:r>
        <w:rPr>
          <w:rFonts w:hint="eastAsia" w:ascii="黑体" w:hAnsi="黑体" w:eastAsia="黑体" w:cs="Times New Roman"/>
          <w:kern w:val="0"/>
          <w:sz w:val="21"/>
          <w:szCs w:val="21"/>
          <w:highlight w:val="none"/>
          <w:lang w:val="en-US" w:eastAsia="zh-CN" w:bidi="ar-SA"/>
        </w:rPr>
        <w:t>　</w:t>
      </w:r>
      <w:r>
        <w:rPr>
          <w:rFonts w:hint="eastAsia"/>
          <w:highlight w:val="none"/>
        </w:rPr>
        <w:t>防制效果评价</w:t>
      </w:r>
    </w:p>
    <w:p w14:paraId="21506C38">
      <w:pPr>
        <w:pStyle w:val="49"/>
        <w:numPr>
          <w:ilvl w:val="2"/>
          <w:numId w:val="0"/>
        </w:numPr>
        <w:spacing w:before="156" w:after="156"/>
        <w:ind w:leftChars="0"/>
        <w:rPr>
          <w:highlight w:val="none"/>
        </w:rPr>
      </w:pPr>
      <w:r>
        <w:rPr>
          <w:rFonts w:hint="eastAsia"/>
          <w:highlight w:val="none"/>
          <w:lang w:val="en-US" w:eastAsia="zh-CN"/>
        </w:rPr>
        <w:t>7.1</w:t>
      </w:r>
      <w:r>
        <w:rPr>
          <w:rFonts w:hint="eastAsia" w:ascii="黑体" w:hAnsi="黑体" w:eastAsia="黑体" w:cs="Times New Roman"/>
          <w:kern w:val="0"/>
          <w:sz w:val="21"/>
          <w:szCs w:val="21"/>
          <w:highlight w:val="none"/>
          <w:lang w:val="en-US" w:eastAsia="zh-CN" w:bidi="ar-SA"/>
        </w:rPr>
        <w:t>　</w:t>
      </w:r>
      <w:r>
        <w:rPr>
          <w:rFonts w:hint="eastAsia"/>
          <w:highlight w:val="none"/>
          <w:lang w:eastAsia="zh-CN"/>
        </w:rPr>
        <w:t>评价</w:t>
      </w:r>
      <w:r>
        <w:rPr>
          <w:rFonts w:hint="eastAsia" w:ascii="黑体" w:hAnsi="宋体" w:eastAsia="黑体" w:cs="黑体"/>
          <w:kern w:val="0"/>
          <w:sz w:val="21"/>
          <w:szCs w:val="21"/>
          <w:highlight w:val="none"/>
          <w:lang w:val="en-US" w:eastAsia="zh-CN" w:bidi="ar"/>
        </w:rPr>
        <w:t>要求</w:t>
      </w:r>
    </w:p>
    <w:p w14:paraId="3DEA36BC">
      <w:pPr>
        <w:pStyle w:val="49"/>
        <w:keepNext w:val="0"/>
        <w:keepLines w:val="0"/>
        <w:pageBreakBefore w:val="0"/>
        <w:widowControl/>
        <w:numPr>
          <w:ilvl w:val="2"/>
          <w:numId w:val="0"/>
        </w:numPr>
        <w:kinsoku/>
        <w:wordWrap/>
        <w:overflowPunct/>
        <w:topLinePunct w:val="0"/>
        <w:bidi w:val="0"/>
        <w:adjustRightInd/>
        <w:snapToGrid/>
        <w:spacing w:before="157" w:beforeLines="50" w:after="157" w:afterLines="50"/>
        <w:ind w:leftChars="0" w:firstLine="420" w:firstLineChars="200"/>
        <w:textAlignment w:val="auto"/>
        <w:rPr>
          <w:rFonts w:hint="eastAsia" w:ascii="宋体" w:hAnsi="Times New Roman" w:eastAsia="宋体" w:cs="Times New Roman"/>
          <w:sz w:val="21"/>
          <w:szCs w:val="21"/>
          <w:highlight w:val="none"/>
          <w:lang w:val="en-US" w:eastAsia="zh-CN" w:bidi="ar-SA"/>
        </w:rPr>
      </w:pPr>
      <w:r>
        <w:rPr>
          <w:rFonts w:hint="eastAsia" w:ascii="宋体" w:eastAsia="宋体" w:cs="Times New Roman"/>
          <w:color w:val="auto"/>
          <w:sz w:val="21"/>
          <w:highlight w:val="none"/>
          <w:lang w:val="en-US" w:eastAsia="zh-CN" w:bidi="ar-SA"/>
        </w:rPr>
        <w:t>实</w:t>
      </w:r>
      <w:r>
        <w:rPr>
          <w:rFonts w:hint="eastAsia" w:ascii="宋体" w:hAnsi="Times New Roman" w:eastAsia="宋体" w:cs="Times New Roman"/>
          <w:sz w:val="21"/>
          <w:szCs w:val="21"/>
          <w:highlight w:val="none"/>
          <w:lang w:val="en-US" w:eastAsia="zh-CN" w:bidi="ar-SA"/>
        </w:rPr>
        <w:t>施蚊虫综合防制措施后，根据杀虫剂作用时间或需要，定期对防制效果进行评价。</w:t>
      </w:r>
    </w:p>
    <w:p w14:paraId="2C0C352C">
      <w:pPr>
        <w:pStyle w:val="49"/>
        <w:numPr>
          <w:ilvl w:val="2"/>
          <w:numId w:val="0"/>
        </w:numPr>
        <w:spacing w:before="156" w:after="156"/>
        <w:ind w:leftChars="0"/>
        <w:rPr>
          <w:highlight w:val="none"/>
        </w:rPr>
      </w:pPr>
      <w:r>
        <w:rPr>
          <w:rFonts w:hint="eastAsia"/>
          <w:highlight w:val="none"/>
          <w:lang w:val="en-US" w:eastAsia="zh-CN"/>
        </w:rPr>
        <w:t>7.2</w:t>
      </w:r>
      <w:r>
        <w:rPr>
          <w:rFonts w:hint="eastAsia" w:ascii="黑体" w:hAnsi="黑体" w:eastAsia="黑体" w:cs="Times New Roman"/>
          <w:kern w:val="0"/>
          <w:sz w:val="21"/>
          <w:szCs w:val="21"/>
          <w:highlight w:val="none"/>
          <w:lang w:val="en-US" w:eastAsia="zh-CN" w:bidi="ar-SA"/>
        </w:rPr>
        <w:t>　评价依据</w:t>
      </w:r>
    </w:p>
    <w:bookmarkEnd w:id="27"/>
    <w:bookmarkEnd w:id="28"/>
    <w:bookmarkEnd w:id="29"/>
    <w:bookmarkEnd w:id="30"/>
    <w:bookmarkEnd w:id="31"/>
    <w:bookmarkEnd w:id="32"/>
    <w:bookmarkEnd w:id="33"/>
    <w:bookmarkEnd w:id="34"/>
    <w:bookmarkEnd w:id="35"/>
    <w:bookmarkEnd w:id="36"/>
    <w:bookmarkEnd w:id="37"/>
    <w:p w14:paraId="32C7792A">
      <w:pPr>
        <w:keepNext w:val="0"/>
        <w:keepLines w:val="0"/>
        <w:widowControl/>
        <w:suppressLineNumbers w:val="0"/>
        <w:spacing w:before="0" w:beforeAutospacing="0" w:after="0" w:afterAutospacing="0"/>
        <w:ind w:left="0" w:right="0" w:firstLine="420" w:firstLineChars="200"/>
        <w:jc w:val="left"/>
        <w:rPr>
          <w:rFonts w:hint="default" w:ascii="Times New Roman" w:hAnsi="Times New Roman" w:eastAsia="宋体" w:cs="Times New Roman"/>
          <w:kern w:val="2"/>
          <w:sz w:val="21"/>
          <w:szCs w:val="21"/>
          <w:highlight w:val="none"/>
        </w:rPr>
      </w:pPr>
      <w:r>
        <w:rPr>
          <w:rFonts w:hint="eastAsia" w:ascii="宋体" w:hAnsi="宋体" w:eastAsia="宋体" w:cs="宋体"/>
          <w:color w:val="000000"/>
          <w:kern w:val="0"/>
          <w:sz w:val="21"/>
          <w:szCs w:val="21"/>
          <w:highlight w:val="none"/>
          <w:lang w:val="en-US" w:eastAsia="zh-CN" w:bidi="ar"/>
        </w:rPr>
        <w:t>评价指标以密度下降率表示，</w:t>
      </w:r>
      <w:r>
        <w:rPr>
          <w:rFonts w:hint="eastAsia" w:ascii="宋体" w:hAnsi="宋体" w:eastAsia="宋体" w:cs="宋体"/>
          <w:kern w:val="2"/>
          <w:sz w:val="21"/>
          <w:szCs w:val="21"/>
          <w:highlight w:val="none"/>
          <w:lang w:val="en-US" w:eastAsia="zh-CN" w:bidi="ar"/>
        </w:rPr>
        <w:t>依据式（</w:t>
      </w:r>
      <w:r>
        <w:rPr>
          <w:rFonts w:hint="eastAsia" w:eastAsia="宋体" w:cs="Times New Roman"/>
          <w:kern w:val="2"/>
          <w:sz w:val="21"/>
          <w:szCs w:val="21"/>
          <w:highlight w:val="none"/>
          <w:lang w:val="en-US" w:eastAsia="zh-CN" w:bidi="ar"/>
        </w:rPr>
        <w:t>7</w:t>
      </w:r>
      <w:r>
        <w:rPr>
          <w:rFonts w:hint="eastAsia" w:ascii="宋体" w:hAnsi="宋体" w:eastAsia="宋体" w:cs="宋体"/>
          <w:kern w:val="2"/>
          <w:sz w:val="21"/>
          <w:szCs w:val="21"/>
          <w:highlight w:val="none"/>
          <w:lang w:val="en-US" w:eastAsia="zh-CN" w:bidi="ar"/>
        </w:rPr>
        <w:t>）计算密度下降率。</w:t>
      </w:r>
    </w:p>
    <w:p w14:paraId="01B065DA">
      <w:pPr>
        <w:keepNext w:val="0"/>
        <w:keepLines w:val="0"/>
        <w:widowControl w:val="0"/>
        <w:suppressLineNumbers w:val="0"/>
        <w:tabs>
          <w:tab w:val="center" w:pos="4677"/>
          <w:tab w:val="right" w:leader="dot" w:pos="9240"/>
          <w:tab w:val="right" w:leader="dot" w:pos="10772"/>
        </w:tabs>
        <w:autoSpaceDE w:val="0"/>
        <w:autoSpaceDN/>
        <w:spacing w:before="0" w:beforeAutospacing="0" w:after="0" w:afterAutospacing="0"/>
        <w:ind w:left="0" w:right="0" w:firstLine="0" w:firstLineChars="0"/>
        <w:jc w:val="both"/>
        <w:rPr>
          <w:rFonts w:hint="default" w:ascii="Times New Roman" w:hAnsi="Times New Roman" w:eastAsia="宋体" w:cs="Times New Roman"/>
          <w:kern w:val="2"/>
          <w:sz w:val="21"/>
          <w:szCs w:val="21"/>
          <w:highlight w:val="none"/>
        </w:rPr>
      </w:pPr>
      <w:r>
        <w:rPr>
          <w:rFonts w:hint="eastAsia" w:ascii="Times New Roman" w:hAnsi="DejaVu Math TeX Gyre" w:eastAsia="宋体" w:cs="Times New Roman"/>
          <w:b w:val="0"/>
          <w:i w:val="0"/>
          <w:kern w:val="2"/>
          <w:sz w:val="21"/>
          <w:szCs w:val="21"/>
          <w:highlight w:val="none"/>
          <w:lang w:val="en-US" w:eastAsia="zh-CN" w:bidi="ar"/>
        </w:rPr>
        <w:tab/>
      </w:r>
      <m:oMath>
        <m:r>
          <m:rPr/>
          <w:rPr>
            <w:rFonts w:hint="default" w:ascii="DejaVu Math TeX Gyre" w:hAnsi="DejaVu Math TeX Gyre"/>
            <w:highlight w:val="none"/>
          </w:rPr>
          <m:t>P</m:t>
        </m:r>
        <m:r>
          <m:rPr>
            <m:sty m:val="p"/>
          </m:rPr>
          <w:rPr>
            <w:rFonts w:ascii="DejaVu Math TeX Gyre" w:hAnsi="DejaVu Math TeX Gyre"/>
            <w:highlight w:val="none"/>
          </w:rPr>
          <m:t>=</m:t>
        </m:r>
        <m:f>
          <m:fPr>
            <m:ctrlPr>
              <w:rPr>
                <w:rFonts w:ascii="DejaVu Math TeX Gyre" w:hAnsi="DejaVu Math TeX Gyre"/>
                <w:highlight w:val="none"/>
              </w:rPr>
            </m:ctrlPr>
          </m:fPr>
          <m:num>
            <m:sSub>
              <m:sSubPr>
                <m:ctrlPr>
                  <w:rPr>
                    <w:rFonts w:ascii="DejaVu Math TeX Gyre" w:hAnsi="DejaVu Math TeX Gyre"/>
                    <w:highlight w:val="none"/>
                  </w:rPr>
                </m:ctrlPr>
              </m:sSubPr>
              <m:e>
                <m:r>
                  <m:rPr/>
                  <w:rPr>
                    <w:rFonts w:hint="default" w:ascii="DejaVu Math TeX Gyre" w:hAnsi="DejaVu Math TeX Gyre"/>
                    <w:highlight w:val="none"/>
                  </w:rPr>
                  <m:t>D</m:t>
                </m:r>
                <m:ctrlPr>
                  <w:rPr>
                    <w:rFonts w:ascii="DejaVu Math TeX Gyre" w:hAnsi="DejaVu Math TeX Gyre"/>
                    <w:highlight w:val="none"/>
                  </w:rPr>
                </m:ctrlPr>
              </m:e>
              <m:sub>
                <m:r>
                  <m:rPr>
                    <m:sty m:val="p"/>
                  </m:rPr>
                  <w:rPr>
                    <w:rFonts w:ascii="DejaVu Math TeX Gyre" w:hAnsi="DejaVu Math TeX Gyre"/>
                    <w:highlight w:val="none"/>
                  </w:rPr>
                  <m:t>b</m:t>
                </m:r>
                <m:ctrlPr>
                  <w:rPr>
                    <w:rFonts w:ascii="DejaVu Math TeX Gyre" w:hAnsi="DejaVu Math TeX Gyre"/>
                    <w:highlight w:val="none"/>
                  </w:rPr>
                </m:ctrlPr>
              </m:sub>
            </m:sSub>
            <m:r>
              <m:rPr>
                <m:sty m:val="p"/>
              </m:rPr>
              <w:rPr>
                <w:rFonts w:ascii="DejaVu Math TeX Gyre" w:hAnsi="DejaVu Math TeX Gyre"/>
                <w:highlight w:val="none"/>
              </w:rPr>
              <m:t>−</m:t>
            </m:r>
            <m:sSub>
              <m:sSubPr>
                <m:ctrlPr>
                  <w:rPr>
                    <w:rFonts w:ascii="DejaVu Math TeX Gyre" w:hAnsi="DejaVu Math TeX Gyre"/>
                    <w:highlight w:val="none"/>
                  </w:rPr>
                </m:ctrlPr>
              </m:sSubPr>
              <m:e>
                <m:r>
                  <m:rPr/>
                  <w:rPr>
                    <w:rFonts w:hint="default" w:ascii="DejaVu Math TeX Gyre" w:hAnsi="DejaVu Math TeX Gyre"/>
                    <w:highlight w:val="none"/>
                  </w:rPr>
                  <m:t>D</m:t>
                </m:r>
                <m:ctrlPr>
                  <w:rPr>
                    <w:rFonts w:ascii="DejaVu Math TeX Gyre" w:hAnsi="DejaVu Math TeX Gyre"/>
                    <w:highlight w:val="none"/>
                  </w:rPr>
                </m:ctrlPr>
              </m:e>
              <m:sub>
                <m:r>
                  <m:rPr>
                    <m:sty m:val="p"/>
                  </m:rPr>
                  <w:rPr>
                    <w:rFonts w:ascii="DejaVu Math TeX Gyre" w:hAnsi="DejaVu Math TeX Gyre"/>
                    <w:highlight w:val="none"/>
                  </w:rPr>
                  <m:t>a</m:t>
                </m:r>
                <m:ctrlPr>
                  <w:rPr>
                    <w:rFonts w:ascii="DejaVu Math TeX Gyre" w:hAnsi="DejaVu Math TeX Gyre"/>
                    <w:highlight w:val="none"/>
                  </w:rPr>
                </m:ctrlPr>
              </m:sub>
            </m:sSub>
            <m:ctrlPr>
              <w:rPr>
                <w:rFonts w:ascii="DejaVu Math TeX Gyre" w:hAnsi="DejaVu Math TeX Gyre"/>
                <w:highlight w:val="none"/>
              </w:rPr>
            </m:ctrlPr>
          </m:num>
          <m:den>
            <m:sSub>
              <m:sSubPr>
                <m:ctrlPr>
                  <w:rPr>
                    <w:rFonts w:ascii="DejaVu Math TeX Gyre" w:hAnsi="DejaVu Math TeX Gyre"/>
                    <w:highlight w:val="none"/>
                  </w:rPr>
                </m:ctrlPr>
              </m:sSubPr>
              <m:e>
                <m:r>
                  <m:rPr/>
                  <w:rPr>
                    <w:rFonts w:hint="default" w:ascii="DejaVu Math TeX Gyre" w:hAnsi="DejaVu Math TeX Gyre"/>
                    <w:highlight w:val="none"/>
                  </w:rPr>
                  <m:t>D</m:t>
                </m:r>
                <m:ctrlPr>
                  <w:rPr>
                    <w:rFonts w:ascii="DejaVu Math TeX Gyre" w:hAnsi="DejaVu Math TeX Gyre"/>
                    <w:highlight w:val="none"/>
                  </w:rPr>
                </m:ctrlPr>
              </m:e>
              <m:sub>
                <m:r>
                  <m:rPr>
                    <m:sty m:val="p"/>
                  </m:rPr>
                  <w:rPr>
                    <w:rFonts w:ascii="DejaVu Math TeX Gyre" w:hAnsi="DejaVu Math TeX Gyre"/>
                    <w:highlight w:val="none"/>
                  </w:rPr>
                  <m:t>b</m:t>
                </m:r>
                <m:ctrlPr>
                  <w:rPr>
                    <w:rFonts w:ascii="DejaVu Math TeX Gyre" w:hAnsi="DejaVu Math TeX Gyre"/>
                    <w:highlight w:val="none"/>
                  </w:rPr>
                </m:ctrlPr>
              </m:sub>
            </m:sSub>
            <m:ctrlPr>
              <w:rPr>
                <w:rFonts w:ascii="DejaVu Math TeX Gyre" w:hAnsi="DejaVu Math TeX Gyre"/>
                <w:highlight w:val="none"/>
              </w:rPr>
            </m:ctrlPr>
          </m:den>
        </m:f>
        <m:r>
          <m:rPr>
            <m:sty m:val="p"/>
          </m:rPr>
          <w:rPr>
            <w:rFonts w:ascii="DejaVu Math TeX Gyre" w:hAnsi="DejaVu Math TeX Gyre"/>
            <w:highlight w:val="none"/>
          </w:rPr>
          <m:t>×100%</m:t>
        </m:r>
      </m:oMath>
      <w:r>
        <w:rPr>
          <w:rFonts w:hint="eastAsia" w:ascii="Times New Roman" w:hAnsi="DejaVu Math TeX Gyre" w:eastAsia="宋体" w:cs="Times New Roman"/>
          <w:b w:val="0"/>
          <w:i w:val="0"/>
          <w:kern w:val="2"/>
          <w:sz w:val="21"/>
          <w:szCs w:val="21"/>
          <w:highlight w:val="none"/>
          <w:lang w:val="en-US" w:eastAsia="zh-CN" w:bidi="ar"/>
        </w:rPr>
        <w:tab/>
      </w:r>
      <w:r>
        <w:rPr>
          <w:rFonts w:hint="eastAsia" w:ascii="宋体" w:hAnsi="宋体" w:eastAsia="宋体" w:cs="宋体"/>
          <w:kern w:val="2"/>
          <w:sz w:val="21"/>
          <w:szCs w:val="21"/>
          <w:highlight w:val="none"/>
          <w:lang w:val="en-US" w:eastAsia="zh-CN" w:bidi="ar"/>
        </w:rPr>
        <w:t>（</w:t>
      </w:r>
      <w:r>
        <w:rPr>
          <w:rFonts w:hint="eastAsia" w:eastAsia="宋体" w:cs="Times New Roman"/>
          <w:kern w:val="2"/>
          <w:sz w:val="21"/>
          <w:szCs w:val="21"/>
          <w:highlight w:val="none"/>
          <w:lang w:val="en-US" w:eastAsia="zh-CN" w:bidi="ar"/>
        </w:rPr>
        <w:t>7</w:t>
      </w:r>
      <w:r>
        <w:rPr>
          <w:rFonts w:hint="eastAsia" w:ascii="宋体" w:hAnsi="宋体" w:eastAsia="宋体" w:cs="宋体"/>
          <w:kern w:val="2"/>
          <w:sz w:val="21"/>
          <w:szCs w:val="21"/>
          <w:highlight w:val="none"/>
          <w:lang w:val="en-US" w:eastAsia="zh-CN" w:bidi="ar"/>
        </w:rPr>
        <w:t>）</w:t>
      </w:r>
    </w:p>
    <w:p w14:paraId="741D3D54">
      <w:pPr>
        <w:pStyle w:val="31"/>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420" w:firstLineChars="200"/>
        <w:jc w:val="both"/>
        <w:rPr>
          <w:rFonts w:hint="eastAsia" w:ascii="宋体" w:hAnsi="Times New Roman" w:eastAsia="宋体" w:cs="Times New Roman"/>
          <w:sz w:val="21"/>
          <w:szCs w:val="21"/>
          <w:highlight w:val="none"/>
        </w:rPr>
      </w:pPr>
      <w:r>
        <w:rPr>
          <w:rFonts w:hint="eastAsia" w:ascii="宋体" w:hAnsi="宋体" w:eastAsia="宋体" w:cs="宋体"/>
          <w:kern w:val="0"/>
          <w:sz w:val="21"/>
          <w:szCs w:val="21"/>
          <w:highlight w:val="none"/>
          <w:lang w:val="en-US" w:eastAsia="zh-CN" w:bidi="ar"/>
        </w:rPr>
        <w:t>式中：</w:t>
      </w:r>
    </w:p>
    <w:p w14:paraId="6CB5E1DE">
      <w:pPr>
        <w:pStyle w:val="31"/>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420" w:firstLineChars="200"/>
        <w:jc w:val="both"/>
        <w:rPr>
          <w:rFonts w:hint="eastAsia" w:ascii="宋体" w:hAnsi="Times New Roman" w:eastAsia="宋体" w:cs="Times New Roman"/>
          <w:i/>
          <w:iCs/>
          <w:sz w:val="21"/>
          <w:szCs w:val="21"/>
          <w:highlight w:val="none"/>
        </w:rPr>
      </w:pPr>
      <w:r>
        <w:rPr>
          <w:rFonts w:hint="eastAsia" w:ascii="宋体" w:hAnsi="宋体" w:eastAsia="宋体" w:cs="宋体"/>
          <w:i/>
          <w:iCs/>
          <w:kern w:val="0"/>
          <w:sz w:val="21"/>
          <w:szCs w:val="21"/>
          <w:highlight w:val="none"/>
          <w:lang w:val="en-US" w:eastAsia="zh-CN" w:bidi="ar"/>
        </w:rPr>
        <w:t>P——</w:t>
      </w:r>
      <w:r>
        <w:rPr>
          <w:rFonts w:hint="eastAsia" w:ascii="宋体" w:hAnsi="宋体" w:eastAsia="宋体" w:cs="宋体"/>
          <w:i w:val="0"/>
          <w:iCs w:val="0"/>
          <w:kern w:val="0"/>
          <w:sz w:val="21"/>
          <w:szCs w:val="21"/>
          <w:highlight w:val="none"/>
          <w:lang w:val="en-US" w:eastAsia="zh-CN" w:bidi="ar"/>
        </w:rPr>
        <w:t>密度下降率，％；</w:t>
      </w:r>
    </w:p>
    <w:p w14:paraId="19F3F73E">
      <w:pPr>
        <w:pStyle w:val="31"/>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420" w:firstLineChars="200"/>
        <w:jc w:val="both"/>
        <w:rPr>
          <w:rFonts w:hint="eastAsia" w:ascii="宋体" w:hAnsi="宋体" w:eastAsia="宋体" w:cs="宋体"/>
          <w:i/>
          <w:iCs/>
          <w:sz w:val="21"/>
          <w:szCs w:val="21"/>
          <w:highlight w:val="none"/>
        </w:rPr>
      </w:pPr>
      <w:r>
        <w:rPr>
          <w:rFonts w:hint="eastAsia" w:ascii="宋体" w:hAnsi="宋体" w:eastAsia="宋体" w:cs="宋体"/>
          <w:i/>
          <w:iCs/>
          <w:kern w:val="0"/>
          <w:sz w:val="21"/>
          <w:szCs w:val="21"/>
          <w:highlight w:val="none"/>
          <w:lang w:val="en-US" w:eastAsia="zh-CN" w:bidi="ar"/>
        </w:rPr>
        <w:t>D</w:t>
      </w:r>
      <w:r>
        <w:rPr>
          <w:rFonts w:hint="eastAsia" w:ascii="宋体" w:hAnsi="宋体" w:eastAsia="宋体" w:cs="宋体"/>
          <w:i w:val="0"/>
          <w:iCs w:val="0"/>
          <w:kern w:val="0"/>
          <w:sz w:val="21"/>
          <w:szCs w:val="21"/>
          <w:highlight w:val="none"/>
          <w:vertAlign w:val="subscript"/>
          <w:lang w:val="en-US" w:eastAsia="zh-CN" w:bidi="ar"/>
        </w:rPr>
        <w:t>b</w:t>
      </w:r>
      <w:r>
        <w:rPr>
          <w:rFonts w:hint="eastAsia" w:ascii="宋体" w:hAnsi="宋体" w:eastAsia="宋体" w:cs="宋体"/>
          <w:i/>
          <w:iCs/>
          <w:kern w:val="0"/>
          <w:sz w:val="21"/>
          <w:szCs w:val="21"/>
          <w:highlight w:val="none"/>
          <w:lang w:val="en-US" w:eastAsia="zh-CN" w:bidi="ar"/>
        </w:rPr>
        <w:t>——</w:t>
      </w:r>
      <w:r>
        <w:rPr>
          <w:rFonts w:hint="eastAsia" w:ascii="宋体" w:hAnsi="宋体" w:eastAsia="宋体" w:cs="宋体"/>
          <w:i w:val="0"/>
          <w:iCs w:val="0"/>
          <w:kern w:val="0"/>
          <w:sz w:val="21"/>
          <w:szCs w:val="21"/>
          <w:highlight w:val="none"/>
          <w:lang w:val="en-US" w:eastAsia="zh-CN" w:bidi="ar"/>
        </w:rPr>
        <w:t>防制区域防制前平均密度值；</w:t>
      </w:r>
    </w:p>
    <w:p w14:paraId="05574A9F">
      <w:pPr>
        <w:pStyle w:val="31"/>
        <w:keepNext w:val="0"/>
        <w:keepLines w:val="0"/>
        <w:widowControl/>
        <w:suppressLineNumbers w:val="0"/>
        <w:tabs>
          <w:tab w:val="center" w:pos="4201"/>
          <w:tab w:val="right" w:leader="dot" w:pos="9298"/>
        </w:tabs>
        <w:autoSpaceDE w:val="0"/>
        <w:autoSpaceDN w:val="0"/>
        <w:spacing w:before="0" w:beforeAutospacing="0" w:after="0" w:afterAutospacing="0"/>
        <w:ind w:left="0" w:right="0" w:firstLine="420" w:firstLineChars="200"/>
        <w:jc w:val="both"/>
        <w:rPr>
          <w:rFonts w:hint="eastAsia" w:ascii="宋体" w:hAnsi="宋体" w:eastAsia="宋体" w:cs="宋体"/>
          <w:i w:val="0"/>
          <w:iCs w:val="0"/>
          <w:kern w:val="0"/>
          <w:sz w:val="21"/>
          <w:szCs w:val="21"/>
          <w:highlight w:val="none"/>
          <w:lang w:val="en-US" w:eastAsia="zh-CN" w:bidi="ar"/>
        </w:rPr>
      </w:pPr>
      <w:r>
        <w:rPr>
          <w:rFonts w:hint="eastAsia" w:ascii="宋体" w:hAnsi="宋体" w:eastAsia="宋体" w:cs="宋体"/>
          <w:i/>
          <w:iCs/>
          <w:kern w:val="0"/>
          <w:sz w:val="21"/>
          <w:szCs w:val="21"/>
          <w:highlight w:val="none"/>
          <w:lang w:val="en-US" w:eastAsia="zh-CN" w:bidi="ar"/>
        </w:rPr>
        <w:t>D</w:t>
      </w:r>
      <w:r>
        <w:rPr>
          <w:rFonts w:hint="eastAsia" w:ascii="宋体" w:hAnsi="宋体" w:eastAsia="宋体" w:cs="宋体"/>
          <w:i w:val="0"/>
          <w:iCs w:val="0"/>
          <w:kern w:val="0"/>
          <w:sz w:val="21"/>
          <w:szCs w:val="21"/>
          <w:highlight w:val="none"/>
          <w:vertAlign w:val="subscript"/>
          <w:lang w:val="en-US" w:eastAsia="zh-CN" w:bidi="ar"/>
        </w:rPr>
        <w:t>a</w:t>
      </w:r>
      <w:r>
        <w:rPr>
          <w:rFonts w:hint="eastAsia" w:ascii="宋体" w:hAnsi="宋体" w:eastAsia="宋体" w:cs="宋体"/>
          <w:i/>
          <w:iCs/>
          <w:kern w:val="0"/>
          <w:sz w:val="21"/>
          <w:szCs w:val="21"/>
          <w:highlight w:val="none"/>
          <w:lang w:val="en-US" w:eastAsia="zh-CN" w:bidi="ar"/>
        </w:rPr>
        <w:t>——</w:t>
      </w:r>
      <w:r>
        <w:rPr>
          <w:rFonts w:hint="eastAsia" w:ascii="宋体" w:hAnsi="宋体" w:eastAsia="宋体" w:cs="宋体"/>
          <w:i w:val="0"/>
          <w:iCs w:val="0"/>
          <w:kern w:val="0"/>
          <w:sz w:val="21"/>
          <w:szCs w:val="21"/>
          <w:highlight w:val="none"/>
          <w:lang w:val="en-US" w:eastAsia="zh-CN" w:bidi="ar"/>
        </w:rPr>
        <w:t>防制区域防制后平均密度值。</w:t>
      </w:r>
    </w:p>
    <w:p w14:paraId="783E2CFC">
      <w:pPr>
        <w:pStyle w:val="31"/>
        <w:keepNext w:val="0"/>
        <w:keepLines w:val="0"/>
        <w:widowControl/>
        <w:numPr>
          <w:ilvl w:val="0"/>
          <w:numId w:val="0"/>
        </w:numPr>
        <w:suppressLineNumbers w:val="0"/>
        <w:spacing w:before="156" w:beforeLines="50" w:beforeAutospacing="0" w:after="156" w:afterLines="50" w:afterAutospacing="0"/>
        <w:ind w:leftChars="0" w:right="0" w:rightChars="0"/>
        <w:jc w:val="left"/>
        <w:outlineLvl w:val="2"/>
        <w:rPr>
          <w:rFonts w:hint="eastAsia"/>
          <w:highlight w:val="none"/>
          <w:lang w:eastAsia="zh-CN"/>
        </w:rPr>
      </w:pPr>
      <w:r>
        <w:rPr>
          <w:rFonts w:hint="eastAsia" w:ascii="黑体" w:hAnsi="黑体" w:eastAsia="黑体" w:cs="Times New Roman"/>
          <w:kern w:val="0"/>
          <w:sz w:val="21"/>
          <w:szCs w:val="21"/>
          <w:highlight w:val="none"/>
          <w:lang w:val="en-US" w:eastAsia="zh-CN" w:bidi="ar-SA"/>
        </w:rPr>
        <w:t>7.3　评价标准</w:t>
      </w:r>
    </w:p>
    <w:p w14:paraId="2DF557C3">
      <w:pPr>
        <w:pStyle w:val="58"/>
        <w:keepNext w:val="0"/>
        <w:keepLines w:val="0"/>
        <w:pageBreakBefore w:val="0"/>
        <w:widowControl/>
        <w:numPr>
          <w:ilvl w:val="4"/>
          <w:numId w:val="0"/>
        </w:numPr>
        <w:kinsoku/>
        <w:wordWrap/>
        <w:overflowPunct/>
        <w:topLinePunct w:val="0"/>
        <w:bidi w:val="0"/>
        <w:adjustRightInd/>
        <w:snapToGrid/>
        <w:spacing w:before="0" w:beforeLines="0" w:after="0" w:afterLines="0"/>
        <w:ind w:leftChars="0"/>
        <w:textAlignment w:val="auto"/>
        <w:rPr>
          <w:rFonts w:hint="eastAsia" w:ascii="宋体" w:hAnsi="宋体" w:eastAsia="宋体" w:cs="宋体"/>
          <w:highlight w:val="none"/>
          <w:lang w:val="en-US" w:eastAsia="zh-CN"/>
        </w:rPr>
      </w:pPr>
      <w:r>
        <w:rPr>
          <w:rFonts w:hint="eastAsia"/>
          <w:highlight w:val="none"/>
          <w:lang w:val="en-US" w:eastAsia="zh-CN"/>
        </w:rPr>
        <w:t>7.3.1</w:t>
      </w:r>
      <w:r>
        <w:rPr>
          <w:rFonts w:hint="eastAsia" w:ascii="宋体" w:hAnsi="宋体" w:eastAsia="宋体" w:cs="宋体"/>
          <w:highlight w:val="none"/>
          <w:lang w:val="en-US" w:eastAsia="zh-CN"/>
        </w:rPr>
        <w:t xml:space="preserve">　应依据GB/T </w:t>
      </w:r>
      <w:r>
        <w:rPr>
          <w:rFonts w:hint="eastAsia" w:ascii="宋体" w:eastAsia="宋体"/>
          <w:sz w:val="21"/>
          <w:highlight w:val="none"/>
          <w:lang w:val="en-US" w:eastAsia="zh-CN" w:bidi="ar-SA"/>
        </w:rPr>
        <w:t>23797</w:t>
      </w:r>
      <w:r>
        <w:rPr>
          <w:rFonts w:hint="eastAsia" w:ascii="宋体" w:hAnsi="宋体" w:eastAsia="宋体" w:cs="宋体"/>
          <w:highlight w:val="none"/>
          <w:lang w:val="en-US" w:eastAsia="zh-CN"/>
        </w:rPr>
        <w:t>的方法，对防制区域内的蚊虫密度进行监测，比对实施防制措施前的密度水平，评价防制效果。</w:t>
      </w:r>
    </w:p>
    <w:p w14:paraId="49887017">
      <w:pPr>
        <w:pStyle w:val="58"/>
        <w:keepNext w:val="0"/>
        <w:keepLines w:val="0"/>
        <w:pageBreakBefore w:val="0"/>
        <w:widowControl/>
        <w:numPr>
          <w:ilvl w:val="4"/>
          <w:numId w:val="0"/>
        </w:numPr>
        <w:kinsoku/>
        <w:wordWrap/>
        <w:overflowPunct/>
        <w:topLinePunct w:val="0"/>
        <w:bidi w:val="0"/>
        <w:adjustRightInd/>
        <w:snapToGrid/>
        <w:spacing w:before="0" w:beforeLines="0" w:after="0" w:afterLines="0"/>
        <w:ind w:leftChars="0"/>
        <w:textAlignment w:val="auto"/>
        <w:rPr>
          <w:rFonts w:hint="eastAsia" w:ascii="宋体" w:hAnsi="宋体" w:eastAsia="宋体" w:cs="宋体"/>
          <w:highlight w:val="none"/>
          <w:lang w:val="en-US" w:eastAsia="zh-CN"/>
        </w:rPr>
      </w:pPr>
      <w:r>
        <w:rPr>
          <w:rFonts w:hint="eastAsia"/>
          <w:highlight w:val="none"/>
          <w:lang w:val="en-US" w:eastAsia="zh-CN"/>
        </w:rPr>
        <w:t>7.3.3</w:t>
      </w:r>
      <w:r>
        <w:rPr>
          <w:rFonts w:hint="eastAsia" w:ascii="宋体" w:hAnsi="宋体" w:eastAsia="宋体" w:cs="宋体"/>
          <w:highlight w:val="none"/>
          <w:lang w:val="en-US" w:eastAsia="zh-CN"/>
        </w:rPr>
        <w:t>　根据防制效果，评价各项防制措施的有效性。如防制效果未达到目标密度控制水平，应分析原因并对防制措施进行调整。</w:t>
      </w:r>
    </w:p>
    <w:p w14:paraId="62CD5181">
      <w:pPr>
        <w:pStyle w:val="58"/>
        <w:keepNext w:val="0"/>
        <w:keepLines w:val="0"/>
        <w:pageBreakBefore w:val="0"/>
        <w:widowControl/>
        <w:numPr>
          <w:ilvl w:val="4"/>
          <w:numId w:val="0"/>
        </w:numPr>
        <w:kinsoku/>
        <w:wordWrap/>
        <w:overflowPunct/>
        <w:topLinePunct w:val="0"/>
        <w:bidi w:val="0"/>
        <w:adjustRightInd/>
        <w:snapToGrid/>
        <w:spacing w:before="0" w:beforeLines="0" w:after="0" w:afterLines="0"/>
        <w:ind w:leftChars="0"/>
        <w:textAlignment w:val="auto"/>
        <w:rPr>
          <w:rFonts w:hint="eastAsia" w:ascii="宋体" w:hAnsi="宋体" w:eastAsia="宋体" w:cs="宋体"/>
          <w:i w:val="0"/>
          <w:iCs w:val="0"/>
          <w:kern w:val="0"/>
          <w:sz w:val="21"/>
          <w:szCs w:val="21"/>
          <w:highlight w:val="none"/>
          <w:lang w:val="en-US" w:eastAsia="zh-CN" w:bidi="ar"/>
        </w:rPr>
      </w:pPr>
      <w:r>
        <w:rPr>
          <w:rFonts w:hint="eastAsia"/>
          <w:highlight w:val="none"/>
          <w:lang w:val="en-US" w:eastAsia="zh-CN"/>
        </w:rPr>
        <w:t>7.3.4　</w:t>
      </w:r>
      <w:r>
        <w:rPr>
          <w:rFonts w:hint="eastAsia" w:ascii="宋体" w:hAnsi="宋体" w:eastAsia="宋体" w:cs="宋体"/>
          <w:highlight w:val="none"/>
          <w:lang w:val="en-US" w:eastAsia="zh-CN"/>
        </w:rPr>
        <w:t>城镇及单位蚊虫密度控制水平应符合GB/T 27771要求。</w:t>
      </w:r>
    </w:p>
    <w:p w14:paraId="0174C744">
      <w:pPr>
        <w:pStyle w:val="48"/>
        <w:numPr>
          <w:ilvl w:val="0"/>
          <w:numId w:val="0"/>
        </w:numPr>
        <w:spacing w:before="312" w:after="312"/>
        <w:ind w:leftChars="0"/>
        <w:rPr>
          <w:rFonts w:hint="eastAsia"/>
          <w:highlight w:val="none"/>
          <w:lang w:val="en-US" w:eastAsia="zh-CN"/>
        </w:rPr>
      </w:pPr>
      <w:r>
        <w:rPr>
          <w:rFonts w:hint="eastAsia"/>
          <w:highlight w:val="none"/>
          <w:lang w:val="en-US" w:eastAsia="zh-CN"/>
        </w:rPr>
        <w:t>8</w:t>
      </w:r>
      <w:r>
        <w:rPr>
          <w:rFonts w:hint="eastAsia" w:ascii="黑体" w:hAnsi="黑体" w:eastAsia="黑体" w:cs="Times New Roman"/>
          <w:kern w:val="0"/>
          <w:sz w:val="21"/>
          <w:szCs w:val="21"/>
          <w:highlight w:val="none"/>
          <w:lang w:val="en-US" w:eastAsia="zh-CN" w:bidi="ar-SA"/>
        </w:rPr>
        <w:t>　</w:t>
      </w:r>
      <w:r>
        <w:rPr>
          <w:rFonts w:hint="eastAsia"/>
          <w:highlight w:val="none"/>
          <w:lang w:val="en-US" w:eastAsia="zh-CN"/>
        </w:rPr>
        <w:t>化学防制注意事项</w:t>
      </w:r>
    </w:p>
    <w:p w14:paraId="6F9E83C6">
      <w:pPr>
        <w:pStyle w:val="48"/>
        <w:keepNext w:val="0"/>
        <w:keepLines w:val="0"/>
        <w:pageBreakBefore w:val="0"/>
        <w:widowControl/>
        <w:numPr>
          <w:ilvl w:val="0"/>
          <w:numId w:val="0"/>
        </w:numPr>
        <w:kinsoku/>
        <w:wordWrap/>
        <w:overflowPunct/>
        <w:topLinePunct w:val="0"/>
        <w:autoSpaceDE/>
        <w:autoSpaceDN/>
        <w:bidi w:val="0"/>
        <w:adjustRightInd/>
        <w:snapToGrid/>
        <w:spacing w:beforeLines="0" w:afterLines="0"/>
        <w:ind w:leftChars="0"/>
        <w:textAlignment w:val="auto"/>
        <w:rPr>
          <w:rFonts w:hint="eastAsia" w:asciiTheme="majorEastAsia" w:hAnsiTheme="majorEastAsia" w:eastAsiaTheme="majorEastAsia" w:cstheme="majorEastAsia"/>
          <w:color w:val="auto"/>
          <w:lang w:val="en-US" w:eastAsia="zh-CN"/>
        </w:rPr>
      </w:pPr>
      <w:r>
        <w:rPr>
          <w:rFonts w:hint="eastAsia"/>
          <w:highlight w:val="none"/>
          <w:lang w:val="en-US" w:eastAsia="zh-CN"/>
        </w:rPr>
        <w:t>8.1</w:t>
      </w:r>
      <w:r>
        <w:rPr>
          <w:rFonts w:hint="eastAsia" w:ascii="黑体" w:hAnsi="黑体" w:eastAsia="黑体" w:cs="Times New Roman"/>
          <w:kern w:val="0"/>
          <w:sz w:val="21"/>
          <w:szCs w:val="21"/>
          <w:highlight w:val="none"/>
          <w:lang w:val="en-US" w:eastAsia="zh-CN" w:bidi="ar-SA"/>
        </w:rPr>
        <w:t>　</w:t>
      </w:r>
      <w:r>
        <w:rPr>
          <w:rFonts w:hint="eastAsia" w:asciiTheme="majorEastAsia" w:hAnsiTheme="majorEastAsia" w:eastAsiaTheme="majorEastAsia" w:cstheme="majorEastAsia"/>
          <w:color w:val="auto"/>
          <w:highlight w:val="none"/>
        </w:rPr>
        <w:t>使用杀虫剂时，需</w:t>
      </w:r>
      <w:r>
        <w:rPr>
          <w:rFonts w:hint="eastAsia" w:asciiTheme="majorEastAsia" w:hAnsiTheme="majorEastAsia" w:eastAsiaTheme="majorEastAsia" w:cstheme="majorEastAsia"/>
          <w:color w:val="auto"/>
          <w:highlight w:val="none"/>
          <w:lang w:eastAsia="zh-CN"/>
        </w:rPr>
        <w:t>做好个人防护</w:t>
      </w:r>
      <w:r>
        <w:rPr>
          <w:rFonts w:hint="eastAsia" w:asciiTheme="majorEastAsia" w:hAnsiTheme="majorEastAsia" w:eastAsiaTheme="majorEastAsia" w:cstheme="majorEastAsia"/>
          <w:color w:val="auto"/>
          <w:highlight w:val="none"/>
        </w:rPr>
        <w:t>，避免吸入、食入或接触化学物质，建议佩戴口罩、手套和长袖衣服等保护装备</w:t>
      </w:r>
      <w:r>
        <w:rPr>
          <w:rFonts w:hint="eastAsia" w:asciiTheme="majorEastAsia" w:hAnsiTheme="majorEastAsia" w:eastAsiaTheme="majorEastAsia" w:cstheme="majorEastAsia"/>
          <w:color w:val="auto"/>
          <w:highlight w:val="none"/>
          <w:lang w:eastAsia="zh-CN"/>
        </w:rPr>
        <w:t>。</w:t>
      </w:r>
    </w:p>
    <w:p w14:paraId="0A60DC51">
      <w:pPr>
        <w:pStyle w:val="45"/>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textAlignment w:val="auto"/>
        <w:rPr>
          <w:rFonts w:hint="eastAsia"/>
          <w:lang w:val="en-US" w:eastAsia="zh-CN"/>
        </w:rPr>
      </w:pPr>
      <w:r>
        <w:rPr>
          <w:rFonts w:hint="eastAsia"/>
          <w:highlight w:val="none"/>
          <w:lang w:val="en-US" w:eastAsia="zh-CN"/>
        </w:rPr>
        <w:t>8.2</w:t>
      </w:r>
      <w:r>
        <w:rPr>
          <w:rFonts w:hint="eastAsia" w:ascii="黑体" w:hAnsi="黑体" w:eastAsia="黑体" w:cs="Times New Roman"/>
          <w:kern w:val="0"/>
          <w:sz w:val="21"/>
          <w:szCs w:val="21"/>
          <w:highlight w:val="none"/>
          <w:lang w:val="en-US" w:eastAsia="zh-CN" w:bidi="ar-SA"/>
        </w:rPr>
        <w:t>　</w:t>
      </w:r>
      <w:r>
        <w:rPr>
          <w:rFonts w:hint="eastAsia" w:ascii="宋体" w:hAnsi="宋体" w:eastAsia="宋体" w:cs="宋体"/>
          <w:sz w:val="21"/>
          <w:highlight w:val="none"/>
          <w:lang w:val="en-US" w:eastAsia="zh-CN" w:bidi="ar-SA"/>
        </w:rPr>
        <w:t>化学防制中使用的药剂均应选择合格卫生杀虫剂且在有效期内</w:t>
      </w:r>
      <w:r>
        <w:rPr>
          <w:rFonts w:hint="eastAsia" w:asciiTheme="majorEastAsia" w:hAnsiTheme="majorEastAsia" w:eastAsiaTheme="majorEastAsia" w:cstheme="majorEastAsia"/>
          <w:color w:val="auto"/>
          <w:highlight w:val="none"/>
          <w:lang w:eastAsia="zh-CN"/>
        </w:rPr>
        <w:t>，</w:t>
      </w:r>
      <w:r>
        <w:rPr>
          <w:rFonts w:hint="eastAsia" w:ascii="宋体" w:hAnsi="宋体" w:eastAsia="宋体" w:cs="宋体"/>
          <w:sz w:val="21"/>
          <w:highlight w:val="none"/>
          <w:lang w:val="en-US" w:eastAsia="zh-CN" w:bidi="ar-SA"/>
        </w:rPr>
        <w:t>杀虫剂</w:t>
      </w:r>
      <w:r>
        <w:rPr>
          <w:rFonts w:hint="eastAsia" w:asciiTheme="majorEastAsia" w:hAnsiTheme="majorEastAsia" w:eastAsiaTheme="majorEastAsia" w:cstheme="majorEastAsia"/>
          <w:color w:val="auto"/>
          <w:highlight w:val="none"/>
          <w:lang w:eastAsia="zh-CN"/>
        </w:rPr>
        <w:t>由</w:t>
      </w:r>
      <w:r>
        <w:rPr>
          <w:rFonts w:hint="eastAsia" w:asciiTheme="majorEastAsia" w:hAnsiTheme="majorEastAsia" w:eastAsiaTheme="majorEastAsia" w:cstheme="majorEastAsia"/>
          <w:color w:val="auto"/>
          <w:highlight w:val="none"/>
        </w:rPr>
        <w:t>专人负责药物保管和出入库登记</w:t>
      </w:r>
      <w:r>
        <w:rPr>
          <w:rFonts w:hint="eastAsia" w:asciiTheme="majorEastAsia" w:hAnsiTheme="majorEastAsia" w:eastAsiaTheme="majorEastAsia" w:cstheme="majorEastAsia"/>
          <w:color w:val="auto"/>
          <w:highlight w:val="none"/>
          <w:lang w:val="en-US" w:eastAsia="zh-CN"/>
        </w:rPr>
        <w:t>。</w:t>
      </w:r>
    </w:p>
    <w:p w14:paraId="751A951F">
      <w:pPr>
        <w:pStyle w:val="45"/>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textAlignment w:val="auto"/>
        <w:rPr>
          <w:rFonts w:hint="default" w:asciiTheme="majorEastAsia" w:hAnsiTheme="majorEastAsia" w:eastAsiaTheme="majorEastAsia" w:cstheme="majorEastAsia"/>
          <w:color w:val="auto"/>
          <w:highlight w:val="none"/>
          <w:lang w:val="en-US" w:eastAsia="zh-CN"/>
        </w:rPr>
      </w:pPr>
      <w:r>
        <w:rPr>
          <w:rFonts w:hint="eastAsia"/>
          <w:highlight w:val="none"/>
          <w:lang w:val="en-US" w:eastAsia="zh-CN"/>
        </w:rPr>
        <w:t>8.3</w:t>
      </w:r>
      <w:r>
        <w:rPr>
          <w:rFonts w:hint="eastAsia" w:ascii="黑体" w:hAnsi="黑体" w:eastAsia="黑体" w:cs="Times New Roman"/>
          <w:kern w:val="0"/>
          <w:sz w:val="21"/>
          <w:szCs w:val="21"/>
          <w:highlight w:val="none"/>
          <w:lang w:val="en-US" w:eastAsia="zh-CN" w:bidi="ar-SA"/>
        </w:rPr>
        <w:t>　</w:t>
      </w:r>
      <w:r>
        <w:rPr>
          <w:rFonts w:hint="eastAsia" w:asciiTheme="majorEastAsia" w:hAnsiTheme="majorEastAsia" w:eastAsiaTheme="majorEastAsia" w:cstheme="majorEastAsia"/>
          <w:color w:val="auto"/>
          <w:highlight w:val="none"/>
        </w:rPr>
        <w:t>实施化学防制的操作人员应经过有害生物防制专业培训并规范操作，操作应符合相应国家标准中的要求。</w:t>
      </w:r>
    </w:p>
    <w:p w14:paraId="79E5D612">
      <w:pPr>
        <w:pStyle w:val="45"/>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textAlignment w:val="auto"/>
        <w:rPr>
          <w:rFonts w:hint="default" w:asciiTheme="majorEastAsia" w:hAnsiTheme="majorEastAsia" w:eastAsiaTheme="majorEastAsia" w:cstheme="majorEastAsia"/>
          <w:color w:val="auto"/>
          <w:highlight w:val="none"/>
          <w:lang w:val="en-US" w:eastAsia="zh-CN"/>
        </w:rPr>
      </w:pPr>
      <w:r>
        <w:rPr>
          <w:rFonts w:hint="eastAsia"/>
          <w:highlight w:val="none"/>
          <w:lang w:val="en-US" w:eastAsia="zh-CN"/>
        </w:rPr>
        <w:t>8.4</w:t>
      </w:r>
      <w:r>
        <w:rPr>
          <w:rFonts w:hint="eastAsia" w:ascii="黑体" w:hAnsi="黑体" w:eastAsia="黑体" w:cs="Times New Roman"/>
          <w:kern w:val="0"/>
          <w:sz w:val="21"/>
          <w:szCs w:val="21"/>
          <w:highlight w:val="none"/>
          <w:lang w:val="en-US" w:eastAsia="zh-CN" w:bidi="ar-SA"/>
        </w:rPr>
        <w:t>　</w:t>
      </w:r>
      <w:r>
        <w:rPr>
          <w:rFonts w:hint="eastAsia" w:asciiTheme="majorEastAsia" w:hAnsiTheme="majorEastAsia" w:eastAsiaTheme="majorEastAsia" w:cstheme="majorEastAsia"/>
          <w:color w:val="auto"/>
          <w:highlight w:val="none"/>
          <w:lang w:val="en-US" w:eastAsia="zh-CN"/>
        </w:rPr>
        <w:t>进行化学防制前应事先对居民进行提示，覆盖因施药可能污染的食物，将宠物和观赏鱼类等转移至安全区域</w:t>
      </w:r>
      <w:r>
        <w:rPr>
          <w:rFonts w:hint="default" w:asciiTheme="majorEastAsia" w:hAnsiTheme="majorEastAsia" w:eastAsiaTheme="majorEastAsia" w:cstheme="majorEastAsia"/>
          <w:color w:val="auto"/>
          <w:highlight w:val="none"/>
          <w:lang w:val="en-US" w:eastAsia="zh-CN"/>
        </w:rPr>
        <w:t>。</w:t>
      </w:r>
    </w:p>
    <w:p w14:paraId="2F2806DD">
      <w:pPr>
        <w:pStyle w:val="45"/>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textAlignment w:val="auto"/>
      </w:pPr>
      <w:r>
        <w:rPr>
          <w:rFonts w:hint="eastAsia"/>
          <w:highlight w:val="none"/>
          <w:lang w:val="en-US" w:eastAsia="zh-CN"/>
        </w:rPr>
        <w:t>8.5</w:t>
      </w:r>
      <w:r>
        <w:rPr>
          <w:rFonts w:hint="eastAsia" w:ascii="黑体" w:hAnsi="黑体" w:eastAsia="黑体" w:cs="Times New Roman"/>
          <w:kern w:val="0"/>
          <w:sz w:val="21"/>
          <w:szCs w:val="21"/>
          <w:highlight w:val="none"/>
          <w:lang w:val="en-US" w:eastAsia="zh-CN" w:bidi="ar-SA"/>
        </w:rPr>
        <w:t>　</w:t>
      </w:r>
      <w:r>
        <w:rPr>
          <w:rFonts w:hint="eastAsia" w:asciiTheme="majorEastAsia" w:hAnsiTheme="majorEastAsia" w:eastAsiaTheme="majorEastAsia" w:cstheme="majorEastAsia"/>
          <w:color w:val="auto"/>
          <w:highlight w:val="none"/>
          <w:lang w:eastAsia="zh-CN"/>
        </w:rPr>
        <w:t>化学防制过程中，应使用专用工具和容器稀释灭蚊药物。</w:t>
      </w:r>
    </w:p>
    <w:p w14:paraId="2082A71C">
      <w:r>
        <w:br w:type="page"/>
      </w:r>
    </w:p>
    <w:p w14:paraId="72BDF196">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lang w:val="en-US" w:eastAsia="zh-CN"/>
        </w:rPr>
      </w:pPr>
      <w:r>
        <w:rPr>
          <w:rFonts w:hint="eastAsia" w:ascii="黑体" w:hAnsi="黑体" w:eastAsia="黑体" w:cs="黑体"/>
          <w:lang w:val="en-US" w:eastAsia="zh-CN"/>
        </w:rPr>
        <w:t>附录A</w:t>
      </w:r>
    </w:p>
    <w:p w14:paraId="053D8FF1">
      <w:pPr>
        <w:jc w:val="center"/>
        <w:rPr>
          <w:rFonts w:hint="eastAsia" w:ascii="黑体" w:hAnsi="黑体" w:eastAsia="黑体" w:cs="黑体"/>
          <w:lang w:val="en-US" w:eastAsia="zh-CN"/>
        </w:rPr>
      </w:pPr>
      <w:r>
        <w:rPr>
          <w:rFonts w:hint="eastAsia" w:ascii="黑体" w:hAnsi="黑体" w:eastAsia="黑体" w:cs="黑体"/>
          <w:lang w:val="en-US" w:eastAsia="zh-CN"/>
        </w:rPr>
        <w:t>（资料性附录）</w:t>
      </w:r>
    </w:p>
    <w:p w14:paraId="41E82B28">
      <w:pPr>
        <w:jc w:val="center"/>
        <w:rPr>
          <w:rFonts w:hint="eastAsia" w:ascii="黑体" w:hAnsi="黑体" w:eastAsia="黑体" w:cs="黑体"/>
          <w:lang w:val="en-US" w:eastAsia="zh-CN"/>
        </w:rPr>
      </w:pPr>
      <w:r>
        <w:rPr>
          <w:rFonts w:hint="eastAsia" w:ascii="黑体" w:hAnsi="黑体" w:eastAsia="黑体" w:cs="黑体"/>
          <w:lang w:val="en-US" w:eastAsia="zh-CN"/>
        </w:rPr>
        <w:t>现场调查表</w:t>
      </w:r>
    </w:p>
    <w:p w14:paraId="1DC83A8E">
      <w:pPr>
        <w:keepNext w:val="0"/>
        <w:keepLines w:val="0"/>
        <w:pageBreakBefore w:val="0"/>
        <w:widowControl w:val="0"/>
        <w:kinsoku/>
        <w:wordWrap/>
        <w:overflowPunct/>
        <w:topLinePunct w:val="0"/>
        <w:autoSpaceDE/>
        <w:autoSpaceDN/>
        <w:bidi w:val="0"/>
        <w:adjustRightInd/>
        <w:snapToGrid/>
        <w:spacing w:before="469" w:beforeLines="150" w:after="157" w:afterLines="50"/>
        <w:jc w:val="center"/>
        <w:textAlignment w:val="auto"/>
        <w:rPr>
          <w:rFonts w:ascii="Times New Roman" w:hAnsi="Times New Roman" w:eastAsia="仿宋"/>
          <w:bCs/>
          <w:sz w:val="24"/>
          <w:szCs w:val="24"/>
        </w:rPr>
      </w:pPr>
      <w:r>
        <w:rPr>
          <w:rFonts w:hint="eastAsia" w:ascii="黑体" w:hAnsi="黑体" w:eastAsia="黑体" w:cs="黑体"/>
          <w:lang w:val="en-US" w:eastAsia="zh-CN"/>
        </w:rPr>
        <w:t>表A.1 成蚊监测表</w:t>
      </w:r>
    </w:p>
    <w:tbl>
      <w:tblPr>
        <w:tblStyle w:val="35"/>
        <w:tblW w:w="9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112"/>
        <w:gridCol w:w="555"/>
        <w:gridCol w:w="555"/>
        <w:gridCol w:w="555"/>
        <w:gridCol w:w="555"/>
        <w:gridCol w:w="555"/>
        <w:gridCol w:w="555"/>
        <w:gridCol w:w="555"/>
        <w:gridCol w:w="555"/>
        <w:gridCol w:w="555"/>
        <w:gridCol w:w="559"/>
        <w:gridCol w:w="871"/>
        <w:gridCol w:w="871"/>
      </w:tblGrid>
      <w:tr w14:paraId="49CCD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9055" w:type="dxa"/>
            <w:gridSpan w:val="14"/>
            <w:tcBorders>
              <w:top w:val="single" w:color="auto" w:sz="8" w:space="0"/>
              <w:left w:val="single" w:color="auto" w:sz="8" w:space="0"/>
              <w:right w:val="single" w:color="auto" w:sz="8" w:space="0"/>
            </w:tcBorders>
            <w:vAlign w:val="center"/>
          </w:tcPr>
          <w:p w14:paraId="6C7A9A68">
            <w:pPr>
              <w:pStyle w:val="24"/>
              <w:ind w:left="0" w:leftChars="0" w:firstLine="0" w:firstLineChars="0"/>
              <w:jc w:val="both"/>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监测时间：    年  月  日    监测地点：       市     区（县）     街道（乡）</w:t>
            </w:r>
          </w:p>
          <w:p w14:paraId="7E761D00">
            <w:pPr>
              <w:pStyle w:val="24"/>
              <w:ind w:left="0" w:leftChars="0" w:firstLine="0" w:firstLineChars="0"/>
              <w:jc w:val="both"/>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监测方法：                  密度计算单位：</w:t>
            </w:r>
          </w:p>
          <w:p w14:paraId="36350DA2">
            <w:pPr>
              <w:pStyle w:val="24"/>
              <w:ind w:left="0" w:leftChars="0" w:firstLine="0" w:firstLineChars="0"/>
              <w:jc w:val="both"/>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温度：  ；湿度：  ；风速：  气候：</w:t>
            </w:r>
          </w:p>
        </w:tc>
      </w:tr>
      <w:tr w14:paraId="1049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vMerge w:val="restart"/>
            <w:tcBorders>
              <w:top w:val="single" w:color="auto" w:sz="8" w:space="0"/>
              <w:left w:val="single" w:color="auto" w:sz="8" w:space="0"/>
            </w:tcBorders>
            <w:vAlign w:val="center"/>
          </w:tcPr>
          <w:p w14:paraId="1D92007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编号</w:t>
            </w:r>
          </w:p>
        </w:tc>
        <w:tc>
          <w:tcPr>
            <w:tcW w:w="1112" w:type="dxa"/>
            <w:vMerge w:val="restart"/>
            <w:tcBorders>
              <w:top w:val="single" w:color="auto" w:sz="8" w:space="0"/>
            </w:tcBorders>
            <w:vAlign w:val="center"/>
          </w:tcPr>
          <w:p w14:paraId="5A3E342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环境类型</w:t>
            </w:r>
          </w:p>
        </w:tc>
        <w:tc>
          <w:tcPr>
            <w:tcW w:w="5554" w:type="dxa"/>
            <w:gridSpan w:val="10"/>
            <w:tcBorders>
              <w:top w:val="single" w:color="auto" w:sz="8" w:space="0"/>
            </w:tcBorders>
            <w:vAlign w:val="center"/>
          </w:tcPr>
          <w:p w14:paraId="3B770B0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蚊虫种类和雌蚊的数量</w:t>
            </w:r>
          </w:p>
        </w:tc>
        <w:tc>
          <w:tcPr>
            <w:tcW w:w="871" w:type="dxa"/>
            <w:vMerge w:val="restart"/>
            <w:tcBorders>
              <w:top w:val="single" w:color="auto" w:sz="8" w:space="0"/>
              <w:right w:val="single" w:color="auto" w:sz="8" w:space="0"/>
            </w:tcBorders>
            <w:vAlign w:val="center"/>
          </w:tcPr>
          <w:p w14:paraId="6782A2D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密度</w:t>
            </w:r>
          </w:p>
        </w:tc>
        <w:tc>
          <w:tcPr>
            <w:tcW w:w="871" w:type="dxa"/>
            <w:vMerge w:val="restart"/>
            <w:tcBorders>
              <w:top w:val="single" w:color="auto" w:sz="8" w:space="0"/>
              <w:right w:val="single" w:color="auto" w:sz="8" w:space="0"/>
            </w:tcBorders>
            <w:vAlign w:val="center"/>
          </w:tcPr>
          <w:p w14:paraId="7B3C9BFA">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备注</w:t>
            </w:r>
          </w:p>
        </w:tc>
      </w:tr>
      <w:tr w14:paraId="15F9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vMerge w:val="continue"/>
            <w:tcBorders>
              <w:left w:val="single" w:color="auto" w:sz="8" w:space="0"/>
            </w:tcBorders>
            <w:vAlign w:val="center"/>
          </w:tcPr>
          <w:p w14:paraId="506DB44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Merge w:val="continue"/>
            <w:vAlign w:val="center"/>
          </w:tcPr>
          <w:p w14:paraId="032395D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DD27F6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AF91C2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0CE816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3AE9CE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F7DDB8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D623BB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91EBB4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1CF41B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F2B098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737012C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Merge w:val="continue"/>
            <w:tcBorders>
              <w:right w:val="single" w:color="auto" w:sz="8" w:space="0"/>
            </w:tcBorders>
            <w:vAlign w:val="center"/>
          </w:tcPr>
          <w:p w14:paraId="0F9B0A1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Merge w:val="continue"/>
            <w:tcBorders>
              <w:right w:val="single" w:color="auto" w:sz="8" w:space="0"/>
            </w:tcBorders>
            <w:vAlign w:val="center"/>
          </w:tcPr>
          <w:p w14:paraId="7879719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1C87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2B4A207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026F2E2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EAEDF8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FB6C2CA">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0F2E7A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959A66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65C6D8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6C7171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4A9687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325519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0EC4DD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7253EA3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1B68ED1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46F8AD1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55B1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064E4C2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6349C42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8C6726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151030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444051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293FB6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4B84C9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E927FE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8B4E88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67A4BF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81525F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051C9A6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7602BA3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376D141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0437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73547CB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2E0389F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84DC28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F0FC6D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BC5AFB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A5FF76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8A2D9C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CD41F2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4F68D2A">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FC814B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200DD5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095A826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1A44BAF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28AE15B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1E7F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54CD21E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288011C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83F182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A9EADE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68CCCD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B5E10F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F8E31E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713F0FA">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02F098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B7828D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E559B6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4772997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4BD95C5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1712B30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4C2FA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5EFC4F7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4A49722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721711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74805C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5323DDA">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A7F22D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DD80CB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14EE60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2760C2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1089D6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A539CC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5CA8885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0029AF1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1577334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0229A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604356CA">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726B920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327509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10D452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79385C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B48AC1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4C4827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F60B7F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45C555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0E6E79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30B4E5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32CC811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71FC0B3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31B7EBD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07835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7A9930F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606798D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7A2403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C71F20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05B5F7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32F67F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648D3A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A3359E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A12221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334D0F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CAF079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3C4D9BD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7CB8261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10B1BCF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0176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5" w:type="dxa"/>
            <w:gridSpan w:val="14"/>
            <w:tcBorders>
              <w:left w:val="single" w:color="auto" w:sz="8" w:space="0"/>
              <w:bottom w:val="single" w:color="auto" w:sz="8" w:space="0"/>
              <w:right w:val="single" w:color="auto" w:sz="8" w:space="0"/>
            </w:tcBorders>
            <w:vAlign w:val="center"/>
          </w:tcPr>
          <w:p w14:paraId="73B67D1D">
            <w:pPr>
              <w:pStyle w:val="24"/>
              <w:ind w:left="0" w:leftChars="0" w:firstLine="0" w:firstLineChars="0"/>
              <w:jc w:val="both"/>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 xml:space="preserve">  监测人：                审核人：               监测负责人：         </w:t>
            </w:r>
          </w:p>
        </w:tc>
      </w:tr>
    </w:tbl>
    <w:p w14:paraId="382D2711">
      <w:pPr>
        <w:keepNext w:val="0"/>
        <w:keepLines w:val="0"/>
        <w:pageBreakBefore w:val="0"/>
        <w:widowControl w:val="0"/>
        <w:kinsoku/>
        <w:wordWrap/>
        <w:overflowPunct/>
        <w:topLinePunct w:val="0"/>
        <w:autoSpaceDE/>
        <w:autoSpaceDN/>
        <w:bidi w:val="0"/>
        <w:adjustRightInd/>
        <w:snapToGrid/>
        <w:spacing w:before="469" w:beforeLines="150" w:after="157" w:afterLines="50"/>
        <w:jc w:val="center"/>
        <w:textAlignment w:val="auto"/>
        <w:rPr>
          <w:rFonts w:ascii="Times New Roman" w:hAnsi="Times New Roman" w:eastAsia="仿宋"/>
          <w:bCs/>
          <w:sz w:val="24"/>
          <w:szCs w:val="24"/>
        </w:rPr>
      </w:pPr>
      <w:r>
        <w:rPr>
          <w:rFonts w:hint="eastAsia" w:ascii="黑体" w:hAnsi="黑体" w:eastAsia="黑体" w:cs="黑体"/>
          <w:lang w:val="en-US" w:eastAsia="zh-CN"/>
        </w:rPr>
        <w:t>表A.2 幼虫（蛹）监测表</w:t>
      </w:r>
    </w:p>
    <w:tbl>
      <w:tblPr>
        <w:tblStyle w:val="35"/>
        <w:tblW w:w="9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112"/>
        <w:gridCol w:w="555"/>
        <w:gridCol w:w="555"/>
        <w:gridCol w:w="555"/>
        <w:gridCol w:w="555"/>
        <w:gridCol w:w="555"/>
        <w:gridCol w:w="555"/>
        <w:gridCol w:w="555"/>
        <w:gridCol w:w="555"/>
        <w:gridCol w:w="555"/>
        <w:gridCol w:w="559"/>
        <w:gridCol w:w="871"/>
        <w:gridCol w:w="871"/>
      </w:tblGrid>
      <w:tr w14:paraId="7E3C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9055" w:type="dxa"/>
            <w:gridSpan w:val="14"/>
            <w:tcBorders>
              <w:top w:val="single" w:color="auto" w:sz="8" w:space="0"/>
              <w:left w:val="single" w:color="auto" w:sz="8" w:space="0"/>
              <w:right w:val="single" w:color="auto" w:sz="8" w:space="0"/>
            </w:tcBorders>
            <w:vAlign w:val="center"/>
          </w:tcPr>
          <w:p w14:paraId="5D9EDA25">
            <w:pPr>
              <w:pStyle w:val="24"/>
              <w:ind w:left="0" w:leftChars="0" w:firstLine="0" w:firstLineChars="0"/>
              <w:jc w:val="both"/>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监测时间：    年  月  日    监测地点：       市     区（县）     街道（乡）</w:t>
            </w:r>
          </w:p>
          <w:p w14:paraId="34D488F5">
            <w:pPr>
              <w:pStyle w:val="24"/>
              <w:ind w:left="0" w:leftChars="0" w:firstLine="0" w:firstLineChars="0"/>
              <w:jc w:val="both"/>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监测方法：                  密度计算单位：</w:t>
            </w:r>
          </w:p>
          <w:p w14:paraId="7247E5C7">
            <w:pPr>
              <w:pStyle w:val="24"/>
              <w:ind w:left="0" w:leftChars="0" w:firstLine="0" w:firstLineChars="0"/>
              <w:jc w:val="both"/>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温度：  ；湿度：  ；风速：  气候：</w:t>
            </w:r>
          </w:p>
        </w:tc>
      </w:tr>
      <w:tr w14:paraId="3903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vMerge w:val="restart"/>
            <w:tcBorders>
              <w:top w:val="single" w:color="auto" w:sz="8" w:space="0"/>
              <w:left w:val="single" w:color="auto" w:sz="8" w:space="0"/>
            </w:tcBorders>
            <w:vAlign w:val="center"/>
          </w:tcPr>
          <w:p w14:paraId="2AB984E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编号</w:t>
            </w:r>
          </w:p>
        </w:tc>
        <w:tc>
          <w:tcPr>
            <w:tcW w:w="1112" w:type="dxa"/>
            <w:vMerge w:val="restart"/>
            <w:tcBorders>
              <w:top w:val="single" w:color="auto" w:sz="8" w:space="0"/>
            </w:tcBorders>
            <w:vAlign w:val="center"/>
          </w:tcPr>
          <w:p w14:paraId="5F57BF2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孳生环境</w:t>
            </w:r>
          </w:p>
        </w:tc>
        <w:tc>
          <w:tcPr>
            <w:tcW w:w="5554" w:type="dxa"/>
            <w:gridSpan w:val="10"/>
            <w:tcBorders>
              <w:top w:val="single" w:color="auto" w:sz="8" w:space="0"/>
            </w:tcBorders>
            <w:vAlign w:val="center"/>
          </w:tcPr>
          <w:p w14:paraId="12D4F17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蚊虫种类和数量</w:t>
            </w:r>
          </w:p>
        </w:tc>
        <w:tc>
          <w:tcPr>
            <w:tcW w:w="871" w:type="dxa"/>
            <w:vMerge w:val="restart"/>
            <w:tcBorders>
              <w:top w:val="single" w:color="auto" w:sz="8" w:space="0"/>
              <w:right w:val="single" w:color="auto" w:sz="8" w:space="0"/>
            </w:tcBorders>
            <w:vAlign w:val="center"/>
          </w:tcPr>
          <w:p w14:paraId="4CEED47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密度</w:t>
            </w:r>
          </w:p>
        </w:tc>
        <w:tc>
          <w:tcPr>
            <w:tcW w:w="871" w:type="dxa"/>
            <w:vMerge w:val="restart"/>
            <w:tcBorders>
              <w:top w:val="single" w:color="auto" w:sz="8" w:space="0"/>
              <w:right w:val="single" w:color="auto" w:sz="8" w:space="0"/>
            </w:tcBorders>
            <w:vAlign w:val="center"/>
          </w:tcPr>
          <w:p w14:paraId="6E07517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备注</w:t>
            </w:r>
          </w:p>
        </w:tc>
      </w:tr>
      <w:tr w14:paraId="5207B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vMerge w:val="continue"/>
            <w:tcBorders>
              <w:left w:val="single" w:color="auto" w:sz="8" w:space="0"/>
            </w:tcBorders>
            <w:vAlign w:val="center"/>
          </w:tcPr>
          <w:p w14:paraId="005584D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Merge w:val="continue"/>
            <w:vAlign w:val="center"/>
          </w:tcPr>
          <w:p w14:paraId="2E7EC13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6FA6BC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BA7508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7BC537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D39D11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ADBDB3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39930E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993FC4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69E694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8C06AB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5B00AE8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Merge w:val="continue"/>
            <w:tcBorders>
              <w:right w:val="single" w:color="auto" w:sz="8" w:space="0"/>
            </w:tcBorders>
            <w:vAlign w:val="center"/>
          </w:tcPr>
          <w:p w14:paraId="45EF4A2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Merge w:val="continue"/>
            <w:tcBorders>
              <w:right w:val="single" w:color="auto" w:sz="8" w:space="0"/>
            </w:tcBorders>
            <w:vAlign w:val="center"/>
          </w:tcPr>
          <w:p w14:paraId="299F6BF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2DB4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00B7985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71DB558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09EEF7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6A24F9A">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30C549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8C68C6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A7EF28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1442C2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BF9AA9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CF6A07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18AD34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0647043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6214D13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7730D13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0EA2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7F5D642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64F7AAB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2B35BB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377C93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9B2FB8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C0C542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3956A7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C027DF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2E88C0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127E80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37D8C0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3734461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4FAE394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509E63C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3EBFB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793606B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4AF9CE1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A0E822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EA0072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65A277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25267F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CF8C39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10EFAE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8B2C88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8B6588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1315D9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316B83F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304E980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6706633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5AAB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71A3E49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1FC5F90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18C615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9DC357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088A05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5F80627">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3ED145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725EEB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37AFB4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BF6477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061F5C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64BCA57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377A4A8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4E9EDE0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74464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0835348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564C183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BE0E06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037C80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70E7BD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E81666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58E2BE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541776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8A6DA7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CA8DDB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4DC80E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22448BD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0B1601E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2B1C50F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30E4D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3A21930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15BC5B5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A5BD75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46478FE0">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DF4136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1BECF4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9E79CB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758D9C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F6C428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EB2259F">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606F09EE">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4C1B4721">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771D02A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75412BE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5B48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47" w:type="dxa"/>
            <w:tcBorders>
              <w:left w:val="single" w:color="auto" w:sz="8" w:space="0"/>
            </w:tcBorders>
            <w:vAlign w:val="center"/>
          </w:tcPr>
          <w:p w14:paraId="1C6E822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1112" w:type="dxa"/>
            <w:vAlign w:val="center"/>
          </w:tcPr>
          <w:p w14:paraId="3099978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768B778">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56A0D28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3BB9514">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0C89825D">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E8FEBB3">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1BBDA8F2">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3422F9CC">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7092BBCB">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5" w:type="dxa"/>
            <w:vAlign w:val="center"/>
          </w:tcPr>
          <w:p w14:paraId="28D008BA">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559" w:type="dxa"/>
            <w:vAlign w:val="center"/>
          </w:tcPr>
          <w:p w14:paraId="4FFAB295">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vAlign w:val="center"/>
          </w:tcPr>
          <w:p w14:paraId="00CE7B39">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c>
          <w:tcPr>
            <w:tcW w:w="871" w:type="dxa"/>
            <w:tcBorders>
              <w:right w:val="single" w:color="auto" w:sz="8" w:space="0"/>
            </w:tcBorders>
            <w:vAlign w:val="center"/>
          </w:tcPr>
          <w:p w14:paraId="03A74DB6">
            <w:pPr>
              <w:pStyle w:val="24"/>
              <w:ind w:left="0" w:leftChars="0" w:firstLine="0" w:firstLineChars="0"/>
              <w:jc w:val="center"/>
              <w:rPr>
                <w:rFonts w:hint="eastAsia" w:asciiTheme="minorEastAsia" w:hAnsiTheme="minorEastAsia" w:eastAsiaTheme="minorEastAsia" w:cstheme="minorEastAsia"/>
                <w:sz w:val="21"/>
                <w:szCs w:val="18"/>
                <w:highlight w:val="none"/>
                <w:lang w:val="en-US" w:eastAsia="zh-CN" w:bidi="ar-SA"/>
              </w:rPr>
            </w:pPr>
          </w:p>
        </w:tc>
      </w:tr>
      <w:tr w14:paraId="1ACB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5" w:type="dxa"/>
            <w:gridSpan w:val="14"/>
            <w:tcBorders>
              <w:left w:val="single" w:color="auto" w:sz="8" w:space="0"/>
              <w:bottom w:val="single" w:color="auto" w:sz="8" w:space="0"/>
              <w:right w:val="single" w:color="auto" w:sz="8" w:space="0"/>
            </w:tcBorders>
            <w:vAlign w:val="center"/>
          </w:tcPr>
          <w:p w14:paraId="2998ADDB">
            <w:pPr>
              <w:pStyle w:val="24"/>
              <w:ind w:left="0" w:leftChars="0" w:firstLine="0" w:firstLineChars="0"/>
              <w:jc w:val="both"/>
              <w:rPr>
                <w:rFonts w:hint="eastAsia" w:asciiTheme="minorEastAsia" w:hAnsiTheme="minorEastAsia" w:eastAsiaTheme="minorEastAsia" w:cstheme="minorEastAsia"/>
                <w:sz w:val="21"/>
                <w:szCs w:val="18"/>
                <w:highlight w:val="none"/>
                <w:lang w:val="en-US" w:eastAsia="zh-CN" w:bidi="ar-SA"/>
              </w:rPr>
            </w:pPr>
            <w:r>
              <w:rPr>
                <w:rFonts w:hint="eastAsia" w:asciiTheme="minorEastAsia" w:hAnsiTheme="minorEastAsia" w:eastAsiaTheme="minorEastAsia" w:cstheme="minorEastAsia"/>
                <w:sz w:val="21"/>
                <w:szCs w:val="18"/>
                <w:highlight w:val="none"/>
                <w:lang w:val="en-US" w:eastAsia="zh-CN" w:bidi="ar-SA"/>
              </w:rPr>
              <w:t xml:space="preserve">  监测人：                审核人：               监测负责人：         </w:t>
            </w:r>
          </w:p>
        </w:tc>
      </w:tr>
    </w:tbl>
    <w:p w14:paraId="4B5B2490">
      <w:pPr>
        <w:pStyle w:val="24"/>
        <w:ind w:left="0" w:leftChars="0" w:firstLine="0" w:firstLineChars="0"/>
      </w:pPr>
    </w:p>
    <w:p w14:paraId="6D6B96A4">
      <w:pPr>
        <w:pStyle w:val="24"/>
        <w:ind w:left="0" w:leftChars="0" w:firstLine="0" w:firstLineChars="0"/>
      </w:pPr>
    </w:p>
    <w:p w14:paraId="0505AA6D">
      <w:pPr>
        <w:pStyle w:val="24"/>
        <w:ind w:left="0" w:leftChars="0" w:firstLine="0" w:firstLineChars="0"/>
      </w:pPr>
      <w:r>
        <w:pict>
          <v:rect id="_x0000_i1025" o:spt="1" style="height:1.5pt;width:116.95pt;" fillcolor="#000000" filled="t" stroked="f" coordsize="21600,21600" o:hr="t" o:hrstd="t" o:hrnoshade="t" o:hrpct="250" o:hralign="center">
            <v:path/>
            <v:fill on="t" focussize="0,0"/>
            <v:stroke on="f"/>
            <v:imagedata o:title=""/>
            <o:lock v:ext="edit"/>
            <w10:wrap type="none"/>
            <w10:anchorlock/>
          </v:rect>
        </w:pict>
      </w:r>
    </w:p>
    <w:sectPr>
      <w:headerReference r:id="rId6" w:type="default"/>
      <w:footerReference r:id="rId7" w:type="default"/>
      <w:pgSz w:w="11906" w:h="16838"/>
      <w:pgMar w:top="567" w:right="1134" w:bottom="1134" w:left="1418" w:header="1418" w:footer="1134" w:gutter="0"/>
      <w:pgBorders>
        <w:top w:val="none" w:sz="0" w:space="0"/>
        <w:left w:val="none" w:sz="0" w:space="0"/>
        <w:bottom w:val="none" w:sz="0" w:space="0"/>
        <w:right w:val="none" w:sz="0" w:space="0"/>
      </w:pgBorders>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GWZT-EN">
    <w:panose1 w:val="02020400000000000000"/>
    <w:charset w:val="86"/>
    <w:family w:val="auto"/>
    <w:pitch w:val="default"/>
    <w:sig w:usb0="A00002BF" w:usb1="38CF7CFA" w:usb2="00082016" w:usb3="00000000" w:csb0="00040001" w:csb1="00000000"/>
  </w:font>
  <w:font w:name="DejaVu Math TeX Gyre">
    <w:panose1 w:val="02000503000000000000"/>
    <w:charset w:val="00"/>
    <w:family w:val="auto"/>
    <w:pitch w:val="default"/>
    <w:sig w:usb0="A10000EF" w:usb1="4201F9EE" w:usb2="02000000" w:usb3="00000000" w:csb0="60000193" w:csb1="0DD40000"/>
  </w:font>
  <w:font w:name="东文宋体">
    <w:altName w:val="方正书宋_GBK"/>
    <w:panose1 w:val="00000000000000000000"/>
    <w:charset w:val="00"/>
    <w:family w:val="auto"/>
    <w:pitch w:val="default"/>
    <w:sig w:usb0="00000000" w:usb1="00000000" w:usb2="00000000" w:usb3="00000000" w:csb0="00000000"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892B1">
    <w:pPr>
      <w:pStyle w:val="18"/>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1E1E8">
    <w:pPr>
      <w:pStyle w:val="46"/>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4E717">
    <w:pPr>
      <w:pStyle w:val="46"/>
    </w:pPr>
    <w:r>
      <w:fldChar w:fldCharType="begin"/>
    </w:r>
    <w:r>
      <w:instrText xml:space="preserve"> PAGE  \* MERGEFORMAT </w:instrText>
    </w:r>
    <w:r>
      <w:fldChar w:fldCharType="separate"/>
    </w:r>
    <w:r>
      <w:t>13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233BF">
    <w:pPr>
      <w:pStyle w:val="47"/>
    </w:pPr>
    <w:r>
      <w:rPr>
        <w:rFonts w:hint="eastAsia"/>
      </w:rPr>
      <w:t>D</w:t>
    </w:r>
    <w:r>
      <w:t>B</w:t>
    </w:r>
    <w:r>
      <w:rPr>
        <w:rFonts w:hint="eastAsia"/>
      </w:rPr>
      <w:t>21</w:t>
    </w:r>
    <w:r>
      <w:t>/T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44ABB">
    <w:pPr>
      <w:pStyle w:val="47"/>
    </w:pPr>
    <w:r>
      <w:rPr>
        <w:rFonts w:hint="eastAsia"/>
      </w:rPr>
      <w:t>D</w:t>
    </w:r>
    <w:r>
      <w:t>B</w:t>
    </w:r>
    <w:r>
      <w:rPr>
        <w:rFonts w:hint="eastAsia"/>
      </w:rPr>
      <w:t>21</w:t>
    </w:r>
    <w:r>
      <w:t>/T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1"/>
      <w:suff w:val="nothing"/>
      <w:lvlText w:val="注%1："/>
      <w:lvlJc w:val="left"/>
      <w:pPr>
        <w:ind w:left="3646" w:hanging="448"/>
      </w:pPr>
      <w:rPr>
        <w:rFonts w:hint="eastAsia" w:ascii="黑体" w:eastAsia="黑体"/>
        <w:b w:val="0"/>
        <w:i w:val="0"/>
        <w:sz w:val="18"/>
        <w:lang w:val="en-US"/>
      </w:rPr>
    </w:lvl>
    <w:lvl w:ilvl="1" w:tentative="0">
      <w:start w:val="1"/>
      <w:numFmt w:val="lowerLetter"/>
      <w:lvlText w:val="%2)"/>
      <w:lvlJc w:val="left"/>
      <w:pPr>
        <w:tabs>
          <w:tab w:val="left" w:pos="2835"/>
        </w:tabs>
        <w:ind w:left="3827" w:hanging="629"/>
      </w:pPr>
      <w:rPr>
        <w:rFonts w:hint="eastAsia"/>
      </w:rPr>
    </w:lvl>
    <w:lvl w:ilvl="2" w:tentative="0">
      <w:start w:val="1"/>
      <w:numFmt w:val="lowerRoman"/>
      <w:lvlText w:val="%3."/>
      <w:lvlJc w:val="right"/>
      <w:pPr>
        <w:tabs>
          <w:tab w:val="left" w:pos="2835"/>
        </w:tabs>
        <w:ind w:left="3827" w:hanging="629"/>
      </w:pPr>
      <w:rPr>
        <w:rFonts w:hint="eastAsia"/>
      </w:rPr>
    </w:lvl>
    <w:lvl w:ilvl="3" w:tentative="0">
      <w:start w:val="1"/>
      <w:numFmt w:val="decimal"/>
      <w:lvlText w:val="%4."/>
      <w:lvlJc w:val="left"/>
      <w:pPr>
        <w:tabs>
          <w:tab w:val="left" w:pos="2835"/>
        </w:tabs>
        <w:ind w:left="3827" w:hanging="629"/>
      </w:pPr>
      <w:rPr>
        <w:rFonts w:hint="eastAsia"/>
      </w:rPr>
    </w:lvl>
    <w:lvl w:ilvl="4" w:tentative="0">
      <w:start w:val="1"/>
      <w:numFmt w:val="lowerLetter"/>
      <w:lvlText w:val="%5)"/>
      <w:lvlJc w:val="left"/>
      <w:pPr>
        <w:tabs>
          <w:tab w:val="left" w:pos="2835"/>
        </w:tabs>
        <w:ind w:left="3827" w:hanging="629"/>
      </w:pPr>
      <w:rPr>
        <w:rFonts w:hint="eastAsia"/>
      </w:rPr>
    </w:lvl>
    <w:lvl w:ilvl="5" w:tentative="0">
      <w:start w:val="1"/>
      <w:numFmt w:val="lowerRoman"/>
      <w:lvlText w:val="%6."/>
      <w:lvlJc w:val="right"/>
      <w:pPr>
        <w:tabs>
          <w:tab w:val="left" w:pos="2835"/>
        </w:tabs>
        <w:ind w:left="3827" w:hanging="629"/>
      </w:pPr>
      <w:rPr>
        <w:rFonts w:hint="eastAsia"/>
      </w:rPr>
    </w:lvl>
    <w:lvl w:ilvl="6" w:tentative="0">
      <w:start w:val="1"/>
      <w:numFmt w:val="decimal"/>
      <w:lvlText w:val="%7."/>
      <w:lvlJc w:val="left"/>
      <w:pPr>
        <w:tabs>
          <w:tab w:val="left" w:pos="2835"/>
        </w:tabs>
        <w:ind w:left="3827" w:hanging="629"/>
      </w:pPr>
      <w:rPr>
        <w:rFonts w:hint="eastAsia"/>
      </w:rPr>
    </w:lvl>
    <w:lvl w:ilvl="7" w:tentative="0">
      <w:start w:val="1"/>
      <w:numFmt w:val="lowerLetter"/>
      <w:lvlText w:val="%8)"/>
      <w:lvlJc w:val="left"/>
      <w:pPr>
        <w:tabs>
          <w:tab w:val="left" w:pos="2835"/>
        </w:tabs>
        <w:ind w:left="3827" w:hanging="629"/>
      </w:pPr>
      <w:rPr>
        <w:rFonts w:hint="eastAsia"/>
      </w:rPr>
    </w:lvl>
    <w:lvl w:ilvl="8" w:tentative="0">
      <w:start w:val="1"/>
      <w:numFmt w:val="lowerRoman"/>
      <w:lvlText w:val="%9."/>
      <w:lvlJc w:val="right"/>
      <w:pPr>
        <w:tabs>
          <w:tab w:val="left" w:pos="2835"/>
        </w:tabs>
        <w:ind w:left="3827" w:hanging="629"/>
      </w:pPr>
      <w:rPr>
        <w:rFonts w:hint="eastAsia"/>
      </w:rPr>
    </w:lvl>
  </w:abstractNum>
  <w:abstractNum w:abstractNumId="1">
    <w:nsid w:val="093C6778"/>
    <w:multiLevelType w:val="multilevel"/>
    <w:tmpl w:val="093C6778"/>
    <w:lvl w:ilvl="0" w:tentative="0">
      <w:start w:val="1"/>
      <w:numFmt w:val="decimal"/>
      <w:pStyle w:val="11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4"/>
      <w:suff w:val="nothing"/>
      <w:lvlText w:val="%1   "/>
      <w:lvlJc w:val="left"/>
      <w:pPr>
        <w:ind w:left="102" w:hanging="181"/>
      </w:pPr>
      <w:rPr>
        <w:rFonts w:hint="eastAsia" w:ascii="宋体" w:hAnsi="Times New Roman" w:eastAsia="宋体" w:cs="Times New Roman"/>
        <w:b w:val="0"/>
        <w:i w:val="0"/>
        <w:color w:val="000000" w:themeColor="text1"/>
        <w:sz w:val="18"/>
        <w:vertAlign w:val="baseline"/>
        <w14:textFill>
          <w14:solidFill>
            <w14:schemeClr w14:val="tx1"/>
          </w14:solidFill>
        </w14:textFill>
      </w:rPr>
    </w:lvl>
    <w:lvl w:ilvl="1" w:tentative="0">
      <w:start w:val="1"/>
      <w:numFmt w:val="lowerLetter"/>
      <w:lvlText w:val="%2"/>
      <w:lvlJc w:val="left"/>
      <w:pPr>
        <w:tabs>
          <w:tab w:val="left" w:pos="-306"/>
        </w:tabs>
        <w:ind w:left="0" w:hanging="363"/>
      </w:pPr>
      <w:rPr>
        <w:rFonts w:hint="eastAsia"/>
      </w:rPr>
    </w:lvl>
    <w:lvl w:ilvl="2" w:tentative="0">
      <w:start w:val="1"/>
      <w:numFmt w:val="lowerRoman"/>
      <w:lvlText w:val="%3."/>
      <w:lvlJc w:val="right"/>
      <w:pPr>
        <w:tabs>
          <w:tab w:val="left" w:pos="-306"/>
        </w:tabs>
        <w:ind w:left="0" w:hanging="363"/>
      </w:pPr>
      <w:rPr>
        <w:rFonts w:hint="eastAsia"/>
      </w:rPr>
    </w:lvl>
    <w:lvl w:ilvl="3" w:tentative="0">
      <w:start w:val="1"/>
      <w:numFmt w:val="decimal"/>
      <w:lvlText w:val="%4."/>
      <w:lvlJc w:val="left"/>
      <w:pPr>
        <w:tabs>
          <w:tab w:val="left" w:pos="-306"/>
        </w:tabs>
        <w:ind w:left="0" w:hanging="363"/>
      </w:pPr>
      <w:rPr>
        <w:rFonts w:hint="eastAsia"/>
      </w:rPr>
    </w:lvl>
    <w:lvl w:ilvl="4" w:tentative="0">
      <w:start w:val="1"/>
      <w:numFmt w:val="lowerLetter"/>
      <w:lvlText w:val="%5)"/>
      <w:lvlJc w:val="left"/>
      <w:pPr>
        <w:tabs>
          <w:tab w:val="left" w:pos="-306"/>
        </w:tabs>
        <w:ind w:left="0" w:hanging="363"/>
      </w:pPr>
      <w:rPr>
        <w:rFonts w:hint="eastAsia"/>
      </w:rPr>
    </w:lvl>
    <w:lvl w:ilvl="5" w:tentative="0">
      <w:start w:val="1"/>
      <w:numFmt w:val="lowerRoman"/>
      <w:lvlText w:val="%6."/>
      <w:lvlJc w:val="right"/>
      <w:pPr>
        <w:tabs>
          <w:tab w:val="left" w:pos="-306"/>
        </w:tabs>
        <w:ind w:left="0" w:hanging="363"/>
      </w:pPr>
      <w:rPr>
        <w:rFonts w:hint="eastAsia"/>
      </w:rPr>
    </w:lvl>
    <w:lvl w:ilvl="6" w:tentative="0">
      <w:start w:val="1"/>
      <w:numFmt w:val="decimal"/>
      <w:lvlText w:val="%7."/>
      <w:lvlJc w:val="left"/>
      <w:pPr>
        <w:tabs>
          <w:tab w:val="left" w:pos="-306"/>
        </w:tabs>
        <w:ind w:left="0" w:hanging="363"/>
      </w:pPr>
      <w:rPr>
        <w:rFonts w:hint="eastAsia"/>
      </w:rPr>
    </w:lvl>
    <w:lvl w:ilvl="7" w:tentative="0">
      <w:start w:val="1"/>
      <w:numFmt w:val="lowerLetter"/>
      <w:lvlText w:val="%8)"/>
      <w:lvlJc w:val="left"/>
      <w:pPr>
        <w:tabs>
          <w:tab w:val="left" w:pos="-306"/>
        </w:tabs>
        <w:ind w:left="0" w:hanging="363"/>
      </w:pPr>
      <w:rPr>
        <w:rFonts w:hint="eastAsia"/>
      </w:rPr>
    </w:lvl>
    <w:lvl w:ilvl="8" w:tentative="0">
      <w:start w:val="1"/>
      <w:numFmt w:val="lowerRoman"/>
      <w:lvlText w:val="%9."/>
      <w:lvlJc w:val="right"/>
      <w:pPr>
        <w:tabs>
          <w:tab w:val="left" w:pos="-306"/>
        </w:tabs>
        <w:ind w:left="0" w:hanging="363"/>
      </w:pPr>
      <w:rPr>
        <w:rFonts w:hint="eastAsia"/>
      </w:rPr>
    </w:lvl>
  </w:abstractNum>
  <w:abstractNum w:abstractNumId="4">
    <w:nsid w:val="1DBF583A"/>
    <w:multiLevelType w:val="multilevel"/>
    <w:tmpl w:val="1DBF583A"/>
    <w:lvl w:ilvl="0" w:tentative="0">
      <w:start w:val="1"/>
      <w:numFmt w:val="decimal"/>
      <w:pStyle w:val="6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eastAsia" w:ascii="黑体" w:hAnsi="Times New Roman" w:eastAsia="黑体"/>
        <w:b w:val="0"/>
        <w:i w:val="0"/>
        <w:sz w:val="21"/>
      </w:rPr>
    </w:lvl>
    <w:lvl w:ilvl="3" w:tentative="0">
      <w:start w:val="1"/>
      <w:numFmt w:val="decimal"/>
      <w:pStyle w:val="54"/>
      <w:suff w:val="nothing"/>
      <w:lvlText w:val="%1.%2.%3.%4　"/>
      <w:lvlJc w:val="left"/>
      <w:pPr>
        <w:ind w:left="0" w:firstLine="0"/>
      </w:pPr>
      <w:rPr>
        <w:rFonts w:hint="eastAsia" w:ascii="黑体" w:hAnsi="Times New Roman" w:eastAsia="黑体"/>
        <w:b w:val="0"/>
        <w:i w:val="0"/>
        <w:sz w:val="21"/>
      </w:rPr>
    </w:lvl>
    <w:lvl w:ilvl="4" w:tentative="0">
      <w:start w:val="1"/>
      <w:numFmt w:val="decimal"/>
      <w:pStyle w:val="58"/>
      <w:suff w:val="nothing"/>
      <w:lvlText w:val="%1.%2.%3.%4.%5　"/>
      <w:lvlJc w:val="left"/>
      <w:pPr>
        <w:ind w:left="851" w:firstLine="0"/>
      </w:pPr>
      <w:rPr>
        <w:rFonts w:hint="eastAsia" w:ascii="黑体" w:hAnsi="Times New Roman" w:eastAsia="黑体"/>
        <w:b w:val="0"/>
        <w:i w:val="0"/>
        <w:sz w:val="21"/>
      </w:rPr>
    </w:lvl>
    <w:lvl w:ilvl="5" w:tentative="0">
      <w:start w:val="1"/>
      <w:numFmt w:val="decimal"/>
      <w:pStyle w:val="5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01"/>
      <w:suff w:val="space"/>
      <w:lvlText w:val="%1"/>
      <w:lvlJc w:val="left"/>
      <w:pPr>
        <w:ind w:left="623" w:hanging="425"/>
      </w:pPr>
      <w:rPr>
        <w:rFonts w:hint="eastAsia"/>
      </w:rPr>
    </w:lvl>
    <w:lvl w:ilvl="1" w:tentative="0">
      <w:start w:val="1"/>
      <w:numFmt w:val="decimal"/>
      <w:pStyle w:val="10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51"/>
      <w:suff w:val="nothing"/>
      <w:lvlText w:val="%1——"/>
      <w:lvlJc w:val="left"/>
      <w:pPr>
        <w:ind w:left="833" w:hanging="408"/>
      </w:pPr>
      <w:rPr>
        <w:rFonts w:hint="eastAsia"/>
      </w:rPr>
    </w:lvl>
    <w:lvl w:ilvl="1" w:tentative="0">
      <w:start w:val="1"/>
      <w:numFmt w:val="bullet"/>
      <w:pStyle w:val="52"/>
      <w:lvlText w:val=""/>
      <w:lvlJc w:val="left"/>
      <w:pPr>
        <w:tabs>
          <w:tab w:val="left" w:pos="760"/>
        </w:tabs>
        <w:ind w:left="1264" w:hanging="413"/>
      </w:pPr>
      <w:rPr>
        <w:rFonts w:hint="default" w:ascii="Symbol" w:hAnsi="Symbol"/>
        <w:color w:val="auto"/>
      </w:rPr>
    </w:lvl>
    <w:lvl w:ilvl="2" w:tentative="0">
      <w:start w:val="1"/>
      <w:numFmt w:val="bullet"/>
      <w:pStyle w:val="6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7"/>
      <w:lvlText w:val="%2)"/>
      <w:lvlJc w:val="left"/>
      <w:pPr>
        <w:tabs>
          <w:tab w:val="left" w:pos="1260"/>
        </w:tabs>
        <w:ind w:left="1259" w:hanging="419"/>
      </w:pPr>
      <w:rPr>
        <w:rFonts w:hint="eastAsia"/>
      </w:rPr>
    </w:lvl>
    <w:lvl w:ilvl="2" w:tentative="0">
      <w:start w:val="1"/>
      <w:numFmt w:val="decimal"/>
      <w:pStyle w:val="6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3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9"/>
      <w:lvlText w:val="%1"/>
      <w:lvlJc w:val="left"/>
      <w:pPr>
        <w:tabs>
          <w:tab w:val="left" w:pos="0"/>
        </w:tabs>
        <w:ind w:left="0" w:hanging="425"/>
      </w:pPr>
      <w:rPr>
        <w:rFonts w:hint="eastAsia"/>
      </w:rPr>
    </w:lvl>
    <w:lvl w:ilvl="1" w:tentative="0">
      <w:start w:val="1"/>
      <w:numFmt w:val="decimal"/>
      <w:pStyle w:val="90"/>
      <w:suff w:val="nothing"/>
      <w:lvlText w:val="表%1.%2　"/>
      <w:lvlJc w:val="left"/>
      <w:pPr>
        <w:ind w:left="3969"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7"/>
      <w:suff w:val="nothing"/>
      <w:lvlText w:val="附　录　%1"/>
      <w:lvlJc w:val="left"/>
      <w:pPr>
        <w:ind w:left="0" w:firstLine="0"/>
      </w:pPr>
      <w:rPr>
        <w:rFonts w:hint="default" w:ascii="黑体" w:hAnsi="Times New Roman" w:eastAsia="黑体"/>
        <w:b w:val="0"/>
        <w:i w:val="0"/>
        <w:spacing w:val="0"/>
        <w:w w:val="100"/>
        <w:sz w:val="21"/>
        <w:highlight w:val="yellow"/>
      </w:rPr>
    </w:lvl>
    <w:lvl w:ilvl="1" w:tentative="0">
      <w:start w:val="1"/>
      <w:numFmt w:val="decimal"/>
      <w:pStyle w:val="10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6"/>
      <w:suff w:val="nothing"/>
      <w:lvlText w:val="%1.%2.%3　"/>
      <w:lvlJc w:val="left"/>
      <w:pPr>
        <w:ind w:left="0" w:firstLine="0"/>
      </w:pPr>
      <w:rPr>
        <w:rFonts w:hint="eastAsia" w:ascii="黑体" w:hAnsi="Times New Roman" w:eastAsia="黑体"/>
        <w:b w:val="0"/>
        <w:i w:val="0"/>
        <w:sz w:val="21"/>
      </w:rPr>
    </w:lvl>
    <w:lvl w:ilvl="3" w:tentative="0">
      <w:start w:val="1"/>
      <w:numFmt w:val="decimal"/>
      <w:pStyle w:val="91"/>
      <w:suff w:val="nothing"/>
      <w:lvlText w:val="%1.%2.%3.%4　"/>
      <w:lvlJc w:val="left"/>
      <w:pPr>
        <w:ind w:left="0" w:firstLine="0"/>
      </w:pPr>
      <w:rPr>
        <w:rFonts w:hint="eastAsia" w:ascii="黑体" w:hAnsi="Times New Roman" w:eastAsia="黑体"/>
        <w:b w:val="0"/>
        <w:i w:val="0"/>
        <w:sz w:val="21"/>
      </w:rPr>
    </w:lvl>
    <w:lvl w:ilvl="4" w:tentative="0">
      <w:start w:val="1"/>
      <w:numFmt w:val="decimal"/>
      <w:pStyle w:val="96"/>
      <w:suff w:val="nothing"/>
      <w:lvlText w:val="%1.%2.%3.%4.%5　"/>
      <w:lvlJc w:val="left"/>
      <w:pPr>
        <w:ind w:left="0" w:firstLine="0"/>
      </w:pPr>
      <w:rPr>
        <w:rFonts w:hint="eastAsia" w:ascii="黑体" w:hAnsi="Times New Roman" w:eastAsia="黑体"/>
        <w:b w:val="0"/>
        <w:i w:val="0"/>
        <w:sz w:val="21"/>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8"/>
      <w:lvlText w:val="%1)"/>
      <w:lvlJc w:val="left"/>
      <w:pPr>
        <w:tabs>
          <w:tab w:val="left" w:pos="839"/>
        </w:tabs>
        <w:ind w:left="839" w:hanging="419"/>
      </w:pPr>
      <w:rPr>
        <w:rFonts w:hint="eastAsia" w:ascii="宋体" w:eastAsia="宋体"/>
        <w:b w:val="0"/>
        <w:i w:val="0"/>
        <w:sz w:val="21"/>
      </w:rPr>
    </w:lvl>
    <w:lvl w:ilvl="1" w:tentative="0">
      <w:start w:val="1"/>
      <w:numFmt w:val="decimal"/>
      <w:pStyle w:val="9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6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lNjM4ZTYxMDYyM2U3NDVjMjU5ZGNkNWRiN2E3YWQifQ=="/>
  </w:docVars>
  <w:rsids>
    <w:rsidRoot w:val="00035925"/>
    <w:rsid w:val="00000244"/>
    <w:rsid w:val="00000890"/>
    <w:rsid w:val="0000185F"/>
    <w:rsid w:val="00003554"/>
    <w:rsid w:val="00004412"/>
    <w:rsid w:val="0000586F"/>
    <w:rsid w:val="00006345"/>
    <w:rsid w:val="00007DB2"/>
    <w:rsid w:val="00013D86"/>
    <w:rsid w:val="00013E02"/>
    <w:rsid w:val="00015C55"/>
    <w:rsid w:val="00017323"/>
    <w:rsid w:val="00017F40"/>
    <w:rsid w:val="0002143C"/>
    <w:rsid w:val="00023491"/>
    <w:rsid w:val="00024334"/>
    <w:rsid w:val="00025A65"/>
    <w:rsid w:val="00026C31"/>
    <w:rsid w:val="00027280"/>
    <w:rsid w:val="000320A7"/>
    <w:rsid w:val="00032D14"/>
    <w:rsid w:val="00035925"/>
    <w:rsid w:val="00040555"/>
    <w:rsid w:val="000431FC"/>
    <w:rsid w:val="000435B7"/>
    <w:rsid w:val="000467D5"/>
    <w:rsid w:val="00061229"/>
    <w:rsid w:val="000648E3"/>
    <w:rsid w:val="000651DB"/>
    <w:rsid w:val="000673D9"/>
    <w:rsid w:val="00067CDF"/>
    <w:rsid w:val="00072920"/>
    <w:rsid w:val="00074C7B"/>
    <w:rsid w:val="00074FBE"/>
    <w:rsid w:val="000778CF"/>
    <w:rsid w:val="00083A09"/>
    <w:rsid w:val="0008469B"/>
    <w:rsid w:val="00084B73"/>
    <w:rsid w:val="00085411"/>
    <w:rsid w:val="0009005E"/>
    <w:rsid w:val="00092857"/>
    <w:rsid w:val="000A20A9"/>
    <w:rsid w:val="000A3BE0"/>
    <w:rsid w:val="000A48B1"/>
    <w:rsid w:val="000B2126"/>
    <w:rsid w:val="000B3143"/>
    <w:rsid w:val="000B465D"/>
    <w:rsid w:val="000B527D"/>
    <w:rsid w:val="000C3D9E"/>
    <w:rsid w:val="000C6B05"/>
    <w:rsid w:val="000C6DD6"/>
    <w:rsid w:val="000C73D4"/>
    <w:rsid w:val="000D1A49"/>
    <w:rsid w:val="000D3D4C"/>
    <w:rsid w:val="000D4F51"/>
    <w:rsid w:val="000D5D49"/>
    <w:rsid w:val="000D718B"/>
    <w:rsid w:val="000E0C46"/>
    <w:rsid w:val="000E28E0"/>
    <w:rsid w:val="000E67F1"/>
    <w:rsid w:val="000F030C"/>
    <w:rsid w:val="000F0AE6"/>
    <w:rsid w:val="000F129C"/>
    <w:rsid w:val="001010CE"/>
    <w:rsid w:val="00102204"/>
    <w:rsid w:val="001056DE"/>
    <w:rsid w:val="00105F37"/>
    <w:rsid w:val="0011012B"/>
    <w:rsid w:val="001124C0"/>
    <w:rsid w:val="00126F36"/>
    <w:rsid w:val="001306BF"/>
    <w:rsid w:val="0013175F"/>
    <w:rsid w:val="00141D5A"/>
    <w:rsid w:val="001512B4"/>
    <w:rsid w:val="0015520D"/>
    <w:rsid w:val="00160507"/>
    <w:rsid w:val="001620A5"/>
    <w:rsid w:val="0016424A"/>
    <w:rsid w:val="00164E53"/>
    <w:rsid w:val="00166415"/>
    <w:rsid w:val="0016699D"/>
    <w:rsid w:val="0017188B"/>
    <w:rsid w:val="00171C7E"/>
    <w:rsid w:val="00175159"/>
    <w:rsid w:val="00176208"/>
    <w:rsid w:val="0018211B"/>
    <w:rsid w:val="001840D3"/>
    <w:rsid w:val="00187263"/>
    <w:rsid w:val="001900F8"/>
    <w:rsid w:val="00191258"/>
    <w:rsid w:val="00192680"/>
    <w:rsid w:val="00193037"/>
    <w:rsid w:val="00193A2C"/>
    <w:rsid w:val="001A2030"/>
    <w:rsid w:val="001A288E"/>
    <w:rsid w:val="001A38E4"/>
    <w:rsid w:val="001B048B"/>
    <w:rsid w:val="001B6DC2"/>
    <w:rsid w:val="001C0B14"/>
    <w:rsid w:val="001C0C48"/>
    <w:rsid w:val="001C149C"/>
    <w:rsid w:val="001C21AC"/>
    <w:rsid w:val="001C47BA"/>
    <w:rsid w:val="001C59EA"/>
    <w:rsid w:val="001D2422"/>
    <w:rsid w:val="001D2D92"/>
    <w:rsid w:val="001D406C"/>
    <w:rsid w:val="001D41EE"/>
    <w:rsid w:val="001D476D"/>
    <w:rsid w:val="001E0380"/>
    <w:rsid w:val="001E13B1"/>
    <w:rsid w:val="001E4EC7"/>
    <w:rsid w:val="001E5681"/>
    <w:rsid w:val="001F1EBF"/>
    <w:rsid w:val="001F3A19"/>
    <w:rsid w:val="001F7A4B"/>
    <w:rsid w:val="002015FD"/>
    <w:rsid w:val="00205390"/>
    <w:rsid w:val="00207497"/>
    <w:rsid w:val="00210B88"/>
    <w:rsid w:val="0023068B"/>
    <w:rsid w:val="00234467"/>
    <w:rsid w:val="00237D8D"/>
    <w:rsid w:val="0024148B"/>
    <w:rsid w:val="00241DA2"/>
    <w:rsid w:val="002471DF"/>
    <w:rsid w:val="00247FEE"/>
    <w:rsid w:val="00250577"/>
    <w:rsid w:val="00250E7D"/>
    <w:rsid w:val="00253382"/>
    <w:rsid w:val="002565D5"/>
    <w:rsid w:val="002622C0"/>
    <w:rsid w:val="00264006"/>
    <w:rsid w:val="00270346"/>
    <w:rsid w:val="00270D9E"/>
    <w:rsid w:val="002723AB"/>
    <w:rsid w:val="002763BD"/>
    <w:rsid w:val="00276DD2"/>
    <w:rsid w:val="002778AE"/>
    <w:rsid w:val="002816BC"/>
    <w:rsid w:val="0028269A"/>
    <w:rsid w:val="00283590"/>
    <w:rsid w:val="00286616"/>
    <w:rsid w:val="00286973"/>
    <w:rsid w:val="00294E70"/>
    <w:rsid w:val="002977B2"/>
    <w:rsid w:val="002A1924"/>
    <w:rsid w:val="002A7420"/>
    <w:rsid w:val="002B0EDC"/>
    <w:rsid w:val="002B0F12"/>
    <w:rsid w:val="002B1308"/>
    <w:rsid w:val="002B4554"/>
    <w:rsid w:val="002C69A3"/>
    <w:rsid w:val="002C72D8"/>
    <w:rsid w:val="002D11FA"/>
    <w:rsid w:val="002E083C"/>
    <w:rsid w:val="002E0DDF"/>
    <w:rsid w:val="002E2906"/>
    <w:rsid w:val="002E2ADF"/>
    <w:rsid w:val="002E5635"/>
    <w:rsid w:val="002E61F5"/>
    <w:rsid w:val="002E64C3"/>
    <w:rsid w:val="002E6905"/>
    <w:rsid w:val="002E6A2C"/>
    <w:rsid w:val="002F1D8C"/>
    <w:rsid w:val="002F21DA"/>
    <w:rsid w:val="00301F39"/>
    <w:rsid w:val="0030678F"/>
    <w:rsid w:val="003075E1"/>
    <w:rsid w:val="00311498"/>
    <w:rsid w:val="0031426F"/>
    <w:rsid w:val="003175A1"/>
    <w:rsid w:val="00322349"/>
    <w:rsid w:val="00323206"/>
    <w:rsid w:val="00325926"/>
    <w:rsid w:val="00327393"/>
    <w:rsid w:val="00327796"/>
    <w:rsid w:val="00327884"/>
    <w:rsid w:val="00327A8A"/>
    <w:rsid w:val="0033255C"/>
    <w:rsid w:val="0033390C"/>
    <w:rsid w:val="00333DEC"/>
    <w:rsid w:val="00336610"/>
    <w:rsid w:val="00343F73"/>
    <w:rsid w:val="00345060"/>
    <w:rsid w:val="0034556B"/>
    <w:rsid w:val="0035323B"/>
    <w:rsid w:val="0035444B"/>
    <w:rsid w:val="003609D2"/>
    <w:rsid w:val="00363F22"/>
    <w:rsid w:val="003653F1"/>
    <w:rsid w:val="00366D59"/>
    <w:rsid w:val="003679EA"/>
    <w:rsid w:val="003727D8"/>
    <w:rsid w:val="00372E2E"/>
    <w:rsid w:val="00374140"/>
    <w:rsid w:val="00374C90"/>
    <w:rsid w:val="00375564"/>
    <w:rsid w:val="0038214F"/>
    <w:rsid w:val="00382BB5"/>
    <w:rsid w:val="00383191"/>
    <w:rsid w:val="00385056"/>
    <w:rsid w:val="00386DED"/>
    <w:rsid w:val="003912E7"/>
    <w:rsid w:val="00392155"/>
    <w:rsid w:val="0039255C"/>
    <w:rsid w:val="00392770"/>
    <w:rsid w:val="0039351F"/>
    <w:rsid w:val="00393947"/>
    <w:rsid w:val="0039414E"/>
    <w:rsid w:val="00394240"/>
    <w:rsid w:val="003970B8"/>
    <w:rsid w:val="003A1EC2"/>
    <w:rsid w:val="003A2275"/>
    <w:rsid w:val="003A2379"/>
    <w:rsid w:val="003A58B1"/>
    <w:rsid w:val="003A5C22"/>
    <w:rsid w:val="003A6A4F"/>
    <w:rsid w:val="003A7088"/>
    <w:rsid w:val="003B00DF"/>
    <w:rsid w:val="003B1275"/>
    <w:rsid w:val="003B1778"/>
    <w:rsid w:val="003B183A"/>
    <w:rsid w:val="003B61CF"/>
    <w:rsid w:val="003B6E21"/>
    <w:rsid w:val="003C11CB"/>
    <w:rsid w:val="003C75F3"/>
    <w:rsid w:val="003C77B3"/>
    <w:rsid w:val="003C78A3"/>
    <w:rsid w:val="003E1867"/>
    <w:rsid w:val="003E5729"/>
    <w:rsid w:val="003F025B"/>
    <w:rsid w:val="003F134E"/>
    <w:rsid w:val="003F4EE0"/>
    <w:rsid w:val="003F7E52"/>
    <w:rsid w:val="00402153"/>
    <w:rsid w:val="00402FC1"/>
    <w:rsid w:val="0041163C"/>
    <w:rsid w:val="00425082"/>
    <w:rsid w:val="00426F06"/>
    <w:rsid w:val="00431DEB"/>
    <w:rsid w:val="00433605"/>
    <w:rsid w:val="004449F9"/>
    <w:rsid w:val="0044600D"/>
    <w:rsid w:val="00446B29"/>
    <w:rsid w:val="00450642"/>
    <w:rsid w:val="00453F9A"/>
    <w:rsid w:val="00454636"/>
    <w:rsid w:val="004644E0"/>
    <w:rsid w:val="0047114B"/>
    <w:rsid w:val="00471E91"/>
    <w:rsid w:val="00473E41"/>
    <w:rsid w:val="00474464"/>
    <w:rsid w:val="00474675"/>
    <w:rsid w:val="0047470C"/>
    <w:rsid w:val="0048146E"/>
    <w:rsid w:val="004904F4"/>
    <w:rsid w:val="0049065C"/>
    <w:rsid w:val="00497BD9"/>
    <w:rsid w:val="004A35F9"/>
    <w:rsid w:val="004A4EC0"/>
    <w:rsid w:val="004A5F11"/>
    <w:rsid w:val="004B24C1"/>
    <w:rsid w:val="004B36F5"/>
    <w:rsid w:val="004C292F"/>
    <w:rsid w:val="004C3A4F"/>
    <w:rsid w:val="004D34B4"/>
    <w:rsid w:val="004E3D0D"/>
    <w:rsid w:val="004F4D27"/>
    <w:rsid w:val="004F60C5"/>
    <w:rsid w:val="004F6679"/>
    <w:rsid w:val="00510280"/>
    <w:rsid w:val="005129D4"/>
    <w:rsid w:val="00513D73"/>
    <w:rsid w:val="00514A43"/>
    <w:rsid w:val="005174E5"/>
    <w:rsid w:val="00522393"/>
    <w:rsid w:val="00522620"/>
    <w:rsid w:val="00525656"/>
    <w:rsid w:val="005311AA"/>
    <w:rsid w:val="00532003"/>
    <w:rsid w:val="00532C96"/>
    <w:rsid w:val="00534334"/>
    <w:rsid w:val="00534C02"/>
    <w:rsid w:val="0054264B"/>
    <w:rsid w:val="0054300C"/>
    <w:rsid w:val="005433AC"/>
    <w:rsid w:val="00543786"/>
    <w:rsid w:val="005437EA"/>
    <w:rsid w:val="00544A1C"/>
    <w:rsid w:val="005455C0"/>
    <w:rsid w:val="00546078"/>
    <w:rsid w:val="00546774"/>
    <w:rsid w:val="00550A73"/>
    <w:rsid w:val="00552CF0"/>
    <w:rsid w:val="005533D7"/>
    <w:rsid w:val="005533FC"/>
    <w:rsid w:val="00553450"/>
    <w:rsid w:val="0055430C"/>
    <w:rsid w:val="005549EB"/>
    <w:rsid w:val="005576B0"/>
    <w:rsid w:val="00560919"/>
    <w:rsid w:val="00564233"/>
    <w:rsid w:val="005703DE"/>
    <w:rsid w:val="0057215B"/>
    <w:rsid w:val="00572CD5"/>
    <w:rsid w:val="0058464E"/>
    <w:rsid w:val="00590C8D"/>
    <w:rsid w:val="005925E4"/>
    <w:rsid w:val="005A01CB"/>
    <w:rsid w:val="005A58FF"/>
    <w:rsid w:val="005A5EAF"/>
    <w:rsid w:val="005A64C0"/>
    <w:rsid w:val="005B3C11"/>
    <w:rsid w:val="005B3C39"/>
    <w:rsid w:val="005B4DD4"/>
    <w:rsid w:val="005B7223"/>
    <w:rsid w:val="005C1C28"/>
    <w:rsid w:val="005C2523"/>
    <w:rsid w:val="005C3F99"/>
    <w:rsid w:val="005C6DB5"/>
    <w:rsid w:val="005D552F"/>
    <w:rsid w:val="005E19E7"/>
    <w:rsid w:val="005E7AE2"/>
    <w:rsid w:val="00606499"/>
    <w:rsid w:val="00610501"/>
    <w:rsid w:val="00613B9A"/>
    <w:rsid w:val="00615726"/>
    <w:rsid w:val="00615F27"/>
    <w:rsid w:val="0061628E"/>
    <w:rsid w:val="00616C08"/>
    <w:rsid w:val="0061716C"/>
    <w:rsid w:val="006243A1"/>
    <w:rsid w:val="00626CF1"/>
    <w:rsid w:val="00627A8A"/>
    <w:rsid w:val="00632E56"/>
    <w:rsid w:val="006351E9"/>
    <w:rsid w:val="00635CBA"/>
    <w:rsid w:val="0064338B"/>
    <w:rsid w:val="00646542"/>
    <w:rsid w:val="006504F4"/>
    <w:rsid w:val="006534F2"/>
    <w:rsid w:val="00654BC9"/>
    <w:rsid w:val="006552FD"/>
    <w:rsid w:val="0065567F"/>
    <w:rsid w:val="00663AF3"/>
    <w:rsid w:val="006665F7"/>
    <w:rsid w:val="00666B6C"/>
    <w:rsid w:val="006746DB"/>
    <w:rsid w:val="00682682"/>
    <w:rsid w:val="00682702"/>
    <w:rsid w:val="0068589E"/>
    <w:rsid w:val="00692368"/>
    <w:rsid w:val="006A04E3"/>
    <w:rsid w:val="006A1A3F"/>
    <w:rsid w:val="006A2EBC"/>
    <w:rsid w:val="006A5EA0"/>
    <w:rsid w:val="006A783B"/>
    <w:rsid w:val="006A7B33"/>
    <w:rsid w:val="006B0265"/>
    <w:rsid w:val="006B15EF"/>
    <w:rsid w:val="006B36D3"/>
    <w:rsid w:val="006B4E13"/>
    <w:rsid w:val="006B75DD"/>
    <w:rsid w:val="006C67E0"/>
    <w:rsid w:val="006C7ABA"/>
    <w:rsid w:val="006D0D60"/>
    <w:rsid w:val="006D1122"/>
    <w:rsid w:val="006D3C00"/>
    <w:rsid w:val="006E0F71"/>
    <w:rsid w:val="006E149F"/>
    <w:rsid w:val="006E2A28"/>
    <w:rsid w:val="006E3675"/>
    <w:rsid w:val="006E4A7F"/>
    <w:rsid w:val="00704550"/>
    <w:rsid w:val="00704DF6"/>
    <w:rsid w:val="00706043"/>
    <w:rsid w:val="0070651C"/>
    <w:rsid w:val="007106B9"/>
    <w:rsid w:val="00710D45"/>
    <w:rsid w:val="007132A3"/>
    <w:rsid w:val="007161B8"/>
    <w:rsid w:val="00716421"/>
    <w:rsid w:val="00716E40"/>
    <w:rsid w:val="00724EFB"/>
    <w:rsid w:val="00730257"/>
    <w:rsid w:val="0073118F"/>
    <w:rsid w:val="007419C3"/>
    <w:rsid w:val="00743130"/>
    <w:rsid w:val="00744B0A"/>
    <w:rsid w:val="007467A7"/>
    <w:rsid w:val="007469DD"/>
    <w:rsid w:val="0074741B"/>
    <w:rsid w:val="0074759E"/>
    <w:rsid w:val="007478EA"/>
    <w:rsid w:val="007503DD"/>
    <w:rsid w:val="0075415C"/>
    <w:rsid w:val="007600AF"/>
    <w:rsid w:val="00760463"/>
    <w:rsid w:val="00762575"/>
    <w:rsid w:val="00763502"/>
    <w:rsid w:val="0076677E"/>
    <w:rsid w:val="00773779"/>
    <w:rsid w:val="007908F3"/>
    <w:rsid w:val="007913AB"/>
    <w:rsid w:val="007914F7"/>
    <w:rsid w:val="00792D16"/>
    <w:rsid w:val="00793F7C"/>
    <w:rsid w:val="0079554B"/>
    <w:rsid w:val="00795ED9"/>
    <w:rsid w:val="007A1E78"/>
    <w:rsid w:val="007A1E81"/>
    <w:rsid w:val="007A3918"/>
    <w:rsid w:val="007A725E"/>
    <w:rsid w:val="007B1625"/>
    <w:rsid w:val="007B6FA4"/>
    <w:rsid w:val="007B706E"/>
    <w:rsid w:val="007B71EB"/>
    <w:rsid w:val="007C3647"/>
    <w:rsid w:val="007C6205"/>
    <w:rsid w:val="007C686A"/>
    <w:rsid w:val="007C728E"/>
    <w:rsid w:val="007D2C53"/>
    <w:rsid w:val="007D3D60"/>
    <w:rsid w:val="007D4682"/>
    <w:rsid w:val="007E1980"/>
    <w:rsid w:val="007E4B76"/>
    <w:rsid w:val="007E5EA8"/>
    <w:rsid w:val="007F0C00"/>
    <w:rsid w:val="007F0CF1"/>
    <w:rsid w:val="007F12A5"/>
    <w:rsid w:val="007F4CF1"/>
    <w:rsid w:val="007F758D"/>
    <w:rsid w:val="007F7D52"/>
    <w:rsid w:val="00801BB0"/>
    <w:rsid w:val="0080266C"/>
    <w:rsid w:val="0080654C"/>
    <w:rsid w:val="008071C6"/>
    <w:rsid w:val="008142E2"/>
    <w:rsid w:val="00817A00"/>
    <w:rsid w:val="00820B79"/>
    <w:rsid w:val="00821F88"/>
    <w:rsid w:val="0082231B"/>
    <w:rsid w:val="008275B6"/>
    <w:rsid w:val="008277B0"/>
    <w:rsid w:val="008351DF"/>
    <w:rsid w:val="00835DB3"/>
    <w:rsid w:val="0083617B"/>
    <w:rsid w:val="008371BD"/>
    <w:rsid w:val="00841935"/>
    <w:rsid w:val="00842E49"/>
    <w:rsid w:val="00844059"/>
    <w:rsid w:val="00845B03"/>
    <w:rsid w:val="00845E00"/>
    <w:rsid w:val="00846364"/>
    <w:rsid w:val="008504A8"/>
    <w:rsid w:val="0085282E"/>
    <w:rsid w:val="00852D63"/>
    <w:rsid w:val="008568AF"/>
    <w:rsid w:val="00864775"/>
    <w:rsid w:val="0087198C"/>
    <w:rsid w:val="00872C1F"/>
    <w:rsid w:val="00873B42"/>
    <w:rsid w:val="008740D2"/>
    <w:rsid w:val="00877322"/>
    <w:rsid w:val="00881DA9"/>
    <w:rsid w:val="008856D8"/>
    <w:rsid w:val="008919DE"/>
    <w:rsid w:val="008927B5"/>
    <w:rsid w:val="00892E82"/>
    <w:rsid w:val="008976DC"/>
    <w:rsid w:val="008A2257"/>
    <w:rsid w:val="008B063A"/>
    <w:rsid w:val="008B15E6"/>
    <w:rsid w:val="008B375A"/>
    <w:rsid w:val="008B78BF"/>
    <w:rsid w:val="008C00D9"/>
    <w:rsid w:val="008C1B58"/>
    <w:rsid w:val="008C39AE"/>
    <w:rsid w:val="008C4F08"/>
    <w:rsid w:val="008C590D"/>
    <w:rsid w:val="008D1382"/>
    <w:rsid w:val="008E031B"/>
    <w:rsid w:val="008E27FD"/>
    <w:rsid w:val="008E7029"/>
    <w:rsid w:val="008E7EF6"/>
    <w:rsid w:val="008F1C7B"/>
    <w:rsid w:val="008F1F98"/>
    <w:rsid w:val="008F28C7"/>
    <w:rsid w:val="008F6758"/>
    <w:rsid w:val="008F72DC"/>
    <w:rsid w:val="009040DD"/>
    <w:rsid w:val="00905B47"/>
    <w:rsid w:val="0091331C"/>
    <w:rsid w:val="00914C03"/>
    <w:rsid w:val="009171B9"/>
    <w:rsid w:val="0092088A"/>
    <w:rsid w:val="009221C4"/>
    <w:rsid w:val="009254EE"/>
    <w:rsid w:val="00926AC8"/>
    <w:rsid w:val="009279DE"/>
    <w:rsid w:val="00930021"/>
    <w:rsid w:val="00930116"/>
    <w:rsid w:val="0094212C"/>
    <w:rsid w:val="00944C6E"/>
    <w:rsid w:val="0094550D"/>
    <w:rsid w:val="009458B5"/>
    <w:rsid w:val="0094666F"/>
    <w:rsid w:val="00952AC6"/>
    <w:rsid w:val="00954689"/>
    <w:rsid w:val="00955F4A"/>
    <w:rsid w:val="009617C9"/>
    <w:rsid w:val="00961C93"/>
    <w:rsid w:val="00965324"/>
    <w:rsid w:val="00965DFC"/>
    <w:rsid w:val="0096656D"/>
    <w:rsid w:val="00967548"/>
    <w:rsid w:val="0097091E"/>
    <w:rsid w:val="0097422B"/>
    <w:rsid w:val="00974930"/>
    <w:rsid w:val="009760D3"/>
    <w:rsid w:val="00977132"/>
    <w:rsid w:val="00981A4B"/>
    <w:rsid w:val="009822EA"/>
    <w:rsid w:val="00982501"/>
    <w:rsid w:val="009877D3"/>
    <w:rsid w:val="00992603"/>
    <w:rsid w:val="00994E8F"/>
    <w:rsid w:val="009951DC"/>
    <w:rsid w:val="009959BB"/>
    <w:rsid w:val="00997158"/>
    <w:rsid w:val="009A0175"/>
    <w:rsid w:val="009A06CA"/>
    <w:rsid w:val="009A3488"/>
    <w:rsid w:val="009A3A7C"/>
    <w:rsid w:val="009B2ADB"/>
    <w:rsid w:val="009B603A"/>
    <w:rsid w:val="009C28FA"/>
    <w:rsid w:val="009C2D0E"/>
    <w:rsid w:val="009C3DAC"/>
    <w:rsid w:val="009C42E0"/>
    <w:rsid w:val="009C607E"/>
    <w:rsid w:val="009C6D2F"/>
    <w:rsid w:val="009D07D1"/>
    <w:rsid w:val="009D4257"/>
    <w:rsid w:val="009D5362"/>
    <w:rsid w:val="009E1415"/>
    <w:rsid w:val="009E2BA2"/>
    <w:rsid w:val="009E2E82"/>
    <w:rsid w:val="009E6116"/>
    <w:rsid w:val="00A02E43"/>
    <w:rsid w:val="00A065F9"/>
    <w:rsid w:val="00A07F34"/>
    <w:rsid w:val="00A14229"/>
    <w:rsid w:val="00A17221"/>
    <w:rsid w:val="00A22154"/>
    <w:rsid w:val="00A234C4"/>
    <w:rsid w:val="00A25C38"/>
    <w:rsid w:val="00A313B8"/>
    <w:rsid w:val="00A35388"/>
    <w:rsid w:val="00A3597D"/>
    <w:rsid w:val="00A36BBE"/>
    <w:rsid w:val="00A4307A"/>
    <w:rsid w:val="00A47A4E"/>
    <w:rsid w:val="00A47EBB"/>
    <w:rsid w:val="00A51CDD"/>
    <w:rsid w:val="00A6039F"/>
    <w:rsid w:val="00A60437"/>
    <w:rsid w:val="00A60824"/>
    <w:rsid w:val="00A67262"/>
    <w:rsid w:val="00A6730D"/>
    <w:rsid w:val="00A71625"/>
    <w:rsid w:val="00A71B9B"/>
    <w:rsid w:val="00A751C7"/>
    <w:rsid w:val="00A77629"/>
    <w:rsid w:val="00A834FE"/>
    <w:rsid w:val="00A85177"/>
    <w:rsid w:val="00A85186"/>
    <w:rsid w:val="00A87844"/>
    <w:rsid w:val="00A945E9"/>
    <w:rsid w:val="00AA038C"/>
    <w:rsid w:val="00AA1BED"/>
    <w:rsid w:val="00AA36F1"/>
    <w:rsid w:val="00AA7A09"/>
    <w:rsid w:val="00AB3B50"/>
    <w:rsid w:val="00AC05B1"/>
    <w:rsid w:val="00AC2FA5"/>
    <w:rsid w:val="00AC4D21"/>
    <w:rsid w:val="00AC568E"/>
    <w:rsid w:val="00AC6D3D"/>
    <w:rsid w:val="00AC764D"/>
    <w:rsid w:val="00AC7B04"/>
    <w:rsid w:val="00AD356C"/>
    <w:rsid w:val="00AE2914"/>
    <w:rsid w:val="00AE6D15"/>
    <w:rsid w:val="00AF4AAE"/>
    <w:rsid w:val="00AF5232"/>
    <w:rsid w:val="00B002A1"/>
    <w:rsid w:val="00B0290B"/>
    <w:rsid w:val="00B04182"/>
    <w:rsid w:val="00B07AE3"/>
    <w:rsid w:val="00B11430"/>
    <w:rsid w:val="00B13A0F"/>
    <w:rsid w:val="00B16049"/>
    <w:rsid w:val="00B16213"/>
    <w:rsid w:val="00B21200"/>
    <w:rsid w:val="00B216FB"/>
    <w:rsid w:val="00B21DC7"/>
    <w:rsid w:val="00B25F9E"/>
    <w:rsid w:val="00B30E67"/>
    <w:rsid w:val="00B3452D"/>
    <w:rsid w:val="00B35270"/>
    <w:rsid w:val="00B353EB"/>
    <w:rsid w:val="00B429D0"/>
    <w:rsid w:val="00B439C4"/>
    <w:rsid w:val="00B44A1C"/>
    <w:rsid w:val="00B4535E"/>
    <w:rsid w:val="00B50E01"/>
    <w:rsid w:val="00B5266A"/>
    <w:rsid w:val="00B52A8C"/>
    <w:rsid w:val="00B636A8"/>
    <w:rsid w:val="00B665C6"/>
    <w:rsid w:val="00B71120"/>
    <w:rsid w:val="00B805AF"/>
    <w:rsid w:val="00B81E07"/>
    <w:rsid w:val="00B85261"/>
    <w:rsid w:val="00B869EC"/>
    <w:rsid w:val="00B9397A"/>
    <w:rsid w:val="00B9633D"/>
    <w:rsid w:val="00BA2184"/>
    <w:rsid w:val="00BA2EBE"/>
    <w:rsid w:val="00BB057E"/>
    <w:rsid w:val="00BB0F28"/>
    <w:rsid w:val="00BB458A"/>
    <w:rsid w:val="00BC3FD5"/>
    <w:rsid w:val="00BD00D3"/>
    <w:rsid w:val="00BD1659"/>
    <w:rsid w:val="00BD3AA9"/>
    <w:rsid w:val="00BD3C26"/>
    <w:rsid w:val="00BD43DA"/>
    <w:rsid w:val="00BD4A18"/>
    <w:rsid w:val="00BD4DF2"/>
    <w:rsid w:val="00BD6DB2"/>
    <w:rsid w:val="00BE05D5"/>
    <w:rsid w:val="00BE11CF"/>
    <w:rsid w:val="00BE21AB"/>
    <w:rsid w:val="00BE55CB"/>
    <w:rsid w:val="00BF617A"/>
    <w:rsid w:val="00BF7770"/>
    <w:rsid w:val="00C0137E"/>
    <w:rsid w:val="00C0379D"/>
    <w:rsid w:val="00C03931"/>
    <w:rsid w:val="00C05B7E"/>
    <w:rsid w:val="00C05FE3"/>
    <w:rsid w:val="00C13A52"/>
    <w:rsid w:val="00C20D58"/>
    <w:rsid w:val="00C2136D"/>
    <w:rsid w:val="00C214EE"/>
    <w:rsid w:val="00C2314B"/>
    <w:rsid w:val="00C23AFE"/>
    <w:rsid w:val="00C243EE"/>
    <w:rsid w:val="00C24971"/>
    <w:rsid w:val="00C26BE5"/>
    <w:rsid w:val="00C26E4D"/>
    <w:rsid w:val="00C27909"/>
    <w:rsid w:val="00C27B03"/>
    <w:rsid w:val="00C314E1"/>
    <w:rsid w:val="00C32087"/>
    <w:rsid w:val="00C34397"/>
    <w:rsid w:val="00C3792F"/>
    <w:rsid w:val="00C4095D"/>
    <w:rsid w:val="00C524BF"/>
    <w:rsid w:val="00C52AF9"/>
    <w:rsid w:val="00C601D2"/>
    <w:rsid w:val="00C61513"/>
    <w:rsid w:val="00C62C3A"/>
    <w:rsid w:val="00C63B0C"/>
    <w:rsid w:val="00C65506"/>
    <w:rsid w:val="00C65BCC"/>
    <w:rsid w:val="00C66970"/>
    <w:rsid w:val="00C711D1"/>
    <w:rsid w:val="00C74FD4"/>
    <w:rsid w:val="00C7518F"/>
    <w:rsid w:val="00C81E05"/>
    <w:rsid w:val="00C8691C"/>
    <w:rsid w:val="00C95411"/>
    <w:rsid w:val="00CA168A"/>
    <w:rsid w:val="00CA357E"/>
    <w:rsid w:val="00CA424B"/>
    <w:rsid w:val="00CA44F9"/>
    <w:rsid w:val="00CA4A69"/>
    <w:rsid w:val="00CB11AE"/>
    <w:rsid w:val="00CB36D2"/>
    <w:rsid w:val="00CC0E58"/>
    <w:rsid w:val="00CC1AAA"/>
    <w:rsid w:val="00CC38C1"/>
    <w:rsid w:val="00CC3E0C"/>
    <w:rsid w:val="00CC58D3"/>
    <w:rsid w:val="00CC784D"/>
    <w:rsid w:val="00CC7968"/>
    <w:rsid w:val="00CD71D3"/>
    <w:rsid w:val="00CD77AF"/>
    <w:rsid w:val="00CE28F5"/>
    <w:rsid w:val="00CE5C2E"/>
    <w:rsid w:val="00CE7461"/>
    <w:rsid w:val="00CF12CF"/>
    <w:rsid w:val="00D032C8"/>
    <w:rsid w:val="00D0337B"/>
    <w:rsid w:val="00D03CDF"/>
    <w:rsid w:val="00D043B3"/>
    <w:rsid w:val="00D079B2"/>
    <w:rsid w:val="00D114E9"/>
    <w:rsid w:val="00D2095D"/>
    <w:rsid w:val="00D20B41"/>
    <w:rsid w:val="00D20C4A"/>
    <w:rsid w:val="00D213C5"/>
    <w:rsid w:val="00D21ED7"/>
    <w:rsid w:val="00D30AB5"/>
    <w:rsid w:val="00D336F4"/>
    <w:rsid w:val="00D429C6"/>
    <w:rsid w:val="00D42B0D"/>
    <w:rsid w:val="00D46CA4"/>
    <w:rsid w:val="00D47748"/>
    <w:rsid w:val="00D509E0"/>
    <w:rsid w:val="00D53CDC"/>
    <w:rsid w:val="00D54CC3"/>
    <w:rsid w:val="00D6041A"/>
    <w:rsid w:val="00D633EB"/>
    <w:rsid w:val="00D70F06"/>
    <w:rsid w:val="00D760E5"/>
    <w:rsid w:val="00D803E0"/>
    <w:rsid w:val="00D82005"/>
    <w:rsid w:val="00D82FF7"/>
    <w:rsid w:val="00D847FE"/>
    <w:rsid w:val="00D879C7"/>
    <w:rsid w:val="00D93AE7"/>
    <w:rsid w:val="00D93FA8"/>
    <w:rsid w:val="00D964EA"/>
    <w:rsid w:val="00D966D0"/>
    <w:rsid w:val="00DA0C59"/>
    <w:rsid w:val="00DA3991"/>
    <w:rsid w:val="00DA7243"/>
    <w:rsid w:val="00DB1B52"/>
    <w:rsid w:val="00DB4237"/>
    <w:rsid w:val="00DB6D1C"/>
    <w:rsid w:val="00DB7E6C"/>
    <w:rsid w:val="00DC7BA9"/>
    <w:rsid w:val="00DC7DAF"/>
    <w:rsid w:val="00DD285B"/>
    <w:rsid w:val="00DD5A29"/>
    <w:rsid w:val="00DD5D9D"/>
    <w:rsid w:val="00DE154F"/>
    <w:rsid w:val="00DE2162"/>
    <w:rsid w:val="00DE35CB"/>
    <w:rsid w:val="00DE595C"/>
    <w:rsid w:val="00DF21E9"/>
    <w:rsid w:val="00DF6B12"/>
    <w:rsid w:val="00DF7C29"/>
    <w:rsid w:val="00DF7EFC"/>
    <w:rsid w:val="00E00F14"/>
    <w:rsid w:val="00E029D2"/>
    <w:rsid w:val="00E05934"/>
    <w:rsid w:val="00E06386"/>
    <w:rsid w:val="00E16927"/>
    <w:rsid w:val="00E23A7D"/>
    <w:rsid w:val="00E2430F"/>
    <w:rsid w:val="00E24EB4"/>
    <w:rsid w:val="00E26BC1"/>
    <w:rsid w:val="00E30A0B"/>
    <w:rsid w:val="00E320ED"/>
    <w:rsid w:val="00E33AFB"/>
    <w:rsid w:val="00E34218"/>
    <w:rsid w:val="00E422EC"/>
    <w:rsid w:val="00E43829"/>
    <w:rsid w:val="00E461DA"/>
    <w:rsid w:val="00E46282"/>
    <w:rsid w:val="00E512C7"/>
    <w:rsid w:val="00E5216E"/>
    <w:rsid w:val="00E53600"/>
    <w:rsid w:val="00E54CBB"/>
    <w:rsid w:val="00E61AF0"/>
    <w:rsid w:val="00E62C67"/>
    <w:rsid w:val="00E70226"/>
    <w:rsid w:val="00E82344"/>
    <w:rsid w:val="00E84C82"/>
    <w:rsid w:val="00E84D64"/>
    <w:rsid w:val="00E87408"/>
    <w:rsid w:val="00E914C4"/>
    <w:rsid w:val="00E92F7A"/>
    <w:rsid w:val="00E934F5"/>
    <w:rsid w:val="00E94968"/>
    <w:rsid w:val="00E96961"/>
    <w:rsid w:val="00EA27B4"/>
    <w:rsid w:val="00EA2E33"/>
    <w:rsid w:val="00EA4B31"/>
    <w:rsid w:val="00EA72EC"/>
    <w:rsid w:val="00EB11CB"/>
    <w:rsid w:val="00EB23F2"/>
    <w:rsid w:val="00EB275A"/>
    <w:rsid w:val="00EB786A"/>
    <w:rsid w:val="00EB7A21"/>
    <w:rsid w:val="00EC1578"/>
    <w:rsid w:val="00EC1C72"/>
    <w:rsid w:val="00EC1DB3"/>
    <w:rsid w:val="00EC38C2"/>
    <w:rsid w:val="00EC3CC9"/>
    <w:rsid w:val="00EC5C90"/>
    <w:rsid w:val="00EC680A"/>
    <w:rsid w:val="00ED46BD"/>
    <w:rsid w:val="00EE2BED"/>
    <w:rsid w:val="00EE374B"/>
    <w:rsid w:val="00EE3BD7"/>
    <w:rsid w:val="00EE5D59"/>
    <w:rsid w:val="00EF0DDE"/>
    <w:rsid w:val="00EF1D52"/>
    <w:rsid w:val="00F02A9F"/>
    <w:rsid w:val="00F11BB5"/>
    <w:rsid w:val="00F12FB3"/>
    <w:rsid w:val="00F1417B"/>
    <w:rsid w:val="00F2543D"/>
    <w:rsid w:val="00F34B99"/>
    <w:rsid w:val="00F374B5"/>
    <w:rsid w:val="00F46355"/>
    <w:rsid w:val="00F46D53"/>
    <w:rsid w:val="00F50216"/>
    <w:rsid w:val="00F524E8"/>
    <w:rsid w:val="00F52DAB"/>
    <w:rsid w:val="00F543F0"/>
    <w:rsid w:val="00F661BA"/>
    <w:rsid w:val="00F75925"/>
    <w:rsid w:val="00F81D29"/>
    <w:rsid w:val="00F87475"/>
    <w:rsid w:val="00F8747F"/>
    <w:rsid w:val="00F913D9"/>
    <w:rsid w:val="00F91C4D"/>
    <w:rsid w:val="00F92FD9"/>
    <w:rsid w:val="00F93297"/>
    <w:rsid w:val="00F94A5C"/>
    <w:rsid w:val="00F959A0"/>
    <w:rsid w:val="00FA6684"/>
    <w:rsid w:val="00FA731E"/>
    <w:rsid w:val="00FB2B38"/>
    <w:rsid w:val="00FB6C65"/>
    <w:rsid w:val="00FC3830"/>
    <w:rsid w:val="00FC58D2"/>
    <w:rsid w:val="00FC6358"/>
    <w:rsid w:val="00FC63B9"/>
    <w:rsid w:val="00FD17BA"/>
    <w:rsid w:val="00FD320D"/>
    <w:rsid w:val="00FE08B7"/>
    <w:rsid w:val="00FE0CA3"/>
    <w:rsid w:val="00FE0DA0"/>
    <w:rsid w:val="00FE23DE"/>
    <w:rsid w:val="00FF1849"/>
    <w:rsid w:val="00FF4291"/>
    <w:rsid w:val="00FF68DE"/>
    <w:rsid w:val="02832A46"/>
    <w:rsid w:val="02AF3AA0"/>
    <w:rsid w:val="02E76B51"/>
    <w:rsid w:val="03CFD53F"/>
    <w:rsid w:val="05A54A82"/>
    <w:rsid w:val="060FB7FF"/>
    <w:rsid w:val="069723AD"/>
    <w:rsid w:val="099217C1"/>
    <w:rsid w:val="09CD45A7"/>
    <w:rsid w:val="09EC28F6"/>
    <w:rsid w:val="0ADA51A5"/>
    <w:rsid w:val="0BE67BA2"/>
    <w:rsid w:val="11E701D0"/>
    <w:rsid w:val="14910EE0"/>
    <w:rsid w:val="1664648B"/>
    <w:rsid w:val="167D2847"/>
    <w:rsid w:val="16980FC7"/>
    <w:rsid w:val="17B52FE1"/>
    <w:rsid w:val="18B923B4"/>
    <w:rsid w:val="193E2DCB"/>
    <w:rsid w:val="1D0E5DB7"/>
    <w:rsid w:val="1D324A74"/>
    <w:rsid w:val="1D4FCA06"/>
    <w:rsid w:val="1DBB3FD6"/>
    <w:rsid w:val="1F6CEC1F"/>
    <w:rsid w:val="1FF57F5C"/>
    <w:rsid w:val="1FFF6459"/>
    <w:rsid w:val="20176124"/>
    <w:rsid w:val="20344F28"/>
    <w:rsid w:val="2223115A"/>
    <w:rsid w:val="22394F84"/>
    <w:rsid w:val="223E3E3C"/>
    <w:rsid w:val="228A21BA"/>
    <w:rsid w:val="23A070E8"/>
    <w:rsid w:val="23F757C8"/>
    <w:rsid w:val="2A77613D"/>
    <w:rsid w:val="2C5D3877"/>
    <w:rsid w:val="2CE9767A"/>
    <w:rsid w:val="2DBFE2C4"/>
    <w:rsid w:val="2DE9B79D"/>
    <w:rsid w:val="2E396342"/>
    <w:rsid w:val="2E9934E3"/>
    <w:rsid w:val="2EC27BA3"/>
    <w:rsid w:val="2F7F77AE"/>
    <w:rsid w:val="2FBF3F59"/>
    <w:rsid w:val="2FF65D56"/>
    <w:rsid w:val="2FF77823"/>
    <w:rsid w:val="2FFDA0C7"/>
    <w:rsid w:val="35674CBA"/>
    <w:rsid w:val="38DE382B"/>
    <w:rsid w:val="3A3FEF99"/>
    <w:rsid w:val="3ACE4C4D"/>
    <w:rsid w:val="3BF11F79"/>
    <w:rsid w:val="3BFA6A76"/>
    <w:rsid w:val="3BFDB5C7"/>
    <w:rsid w:val="3BFFB911"/>
    <w:rsid w:val="3C583622"/>
    <w:rsid w:val="3CD35B7B"/>
    <w:rsid w:val="3D22018A"/>
    <w:rsid w:val="3D2A5291"/>
    <w:rsid w:val="3DB5FC21"/>
    <w:rsid w:val="3E763D6C"/>
    <w:rsid w:val="3F5D2A28"/>
    <w:rsid w:val="3F6F6BBF"/>
    <w:rsid w:val="3F7379F6"/>
    <w:rsid w:val="3FBB6876"/>
    <w:rsid w:val="3FF7D1F4"/>
    <w:rsid w:val="3FFEC549"/>
    <w:rsid w:val="400E0217"/>
    <w:rsid w:val="425C5EED"/>
    <w:rsid w:val="42DE18F7"/>
    <w:rsid w:val="435968D0"/>
    <w:rsid w:val="44B1407E"/>
    <w:rsid w:val="467FB87C"/>
    <w:rsid w:val="49F93173"/>
    <w:rsid w:val="4A455A4A"/>
    <w:rsid w:val="4AC447AA"/>
    <w:rsid w:val="4AE45C6A"/>
    <w:rsid w:val="4DFFFE8A"/>
    <w:rsid w:val="4F3B2CFE"/>
    <w:rsid w:val="4FEE4CE4"/>
    <w:rsid w:val="4FEF0D81"/>
    <w:rsid w:val="4FF63C82"/>
    <w:rsid w:val="4FFC5D5A"/>
    <w:rsid w:val="537B8B98"/>
    <w:rsid w:val="54F970D6"/>
    <w:rsid w:val="57AF7567"/>
    <w:rsid w:val="57C9AB14"/>
    <w:rsid w:val="57F72398"/>
    <w:rsid w:val="58FE9766"/>
    <w:rsid w:val="593BA8D8"/>
    <w:rsid w:val="596DB287"/>
    <w:rsid w:val="5A392027"/>
    <w:rsid w:val="5A7D1AE7"/>
    <w:rsid w:val="5AB11B79"/>
    <w:rsid w:val="5ABB8EA6"/>
    <w:rsid w:val="5BCE1DA2"/>
    <w:rsid w:val="5BFB6F15"/>
    <w:rsid w:val="5CC520E7"/>
    <w:rsid w:val="5D7FD7E7"/>
    <w:rsid w:val="5DFFAD79"/>
    <w:rsid w:val="5E24561C"/>
    <w:rsid w:val="5F9F527C"/>
    <w:rsid w:val="5FDF9649"/>
    <w:rsid w:val="5FEAB5AB"/>
    <w:rsid w:val="5FFF27D5"/>
    <w:rsid w:val="5FFFFCCE"/>
    <w:rsid w:val="63FFA9D9"/>
    <w:rsid w:val="64733E3D"/>
    <w:rsid w:val="64E3F508"/>
    <w:rsid w:val="659206C5"/>
    <w:rsid w:val="65B50609"/>
    <w:rsid w:val="65EB2F60"/>
    <w:rsid w:val="66BC5FE0"/>
    <w:rsid w:val="66DF32D1"/>
    <w:rsid w:val="67F3985F"/>
    <w:rsid w:val="68F7061F"/>
    <w:rsid w:val="6A1F0402"/>
    <w:rsid w:val="6A627974"/>
    <w:rsid w:val="6ADC70AF"/>
    <w:rsid w:val="6BDF1725"/>
    <w:rsid w:val="6BEFD9E4"/>
    <w:rsid w:val="6BF2C107"/>
    <w:rsid w:val="6D3EE634"/>
    <w:rsid w:val="6D9263B7"/>
    <w:rsid w:val="6DAF6F69"/>
    <w:rsid w:val="6DD1572A"/>
    <w:rsid w:val="6DFD69DF"/>
    <w:rsid w:val="6E1F1F74"/>
    <w:rsid w:val="6E3A4840"/>
    <w:rsid w:val="6EF4C7D3"/>
    <w:rsid w:val="6F0B6421"/>
    <w:rsid w:val="6F7B7558"/>
    <w:rsid w:val="6FAA3E8C"/>
    <w:rsid w:val="6FE6B5B8"/>
    <w:rsid w:val="7177F5F9"/>
    <w:rsid w:val="72BB3700"/>
    <w:rsid w:val="73492D1A"/>
    <w:rsid w:val="73CF2EED"/>
    <w:rsid w:val="741E8F95"/>
    <w:rsid w:val="74C10FD4"/>
    <w:rsid w:val="74E50B7F"/>
    <w:rsid w:val="76EDB37F"/>
    <w:rsid w:val="77DE4DA5"/>
    <w:rsid w:val="77E36FC9"/>
    <w:rsid w:val="78D75648"/>
    <w:rsid w:val="79561F24"/>
    <w:rsid w:val="79FFE090"/>
    <w:rsid w:val="7A0E5017"/>
    <w:rsid w:val="7AFD5525"/>
    <w:rsid w:val="7AFF6A06"/>
    <w:rsid w:val="7B5F1DF2"/>
    <w:rsid w:val="7B6FFC23"/>
    <w:rsid w:val="7BC462D5"/>
    <w:rsid w:val="7C4F798B"/>
    <w:rsid w:val="7D9DF902"/>
    <w:rsid w:val="7DDF307C"/>
    <w:rsid w:val="7DDFD048"/>
    <w:rsid w:val="7DE3E715"/>
    <w:rsid w:val="7DEB1B90"/>
    <w:rsid w:val="7DFE468C"/>
    <w:rsid w:val="7DFF063C"/>
    <w:rsid w:val="7DFF98F9"/>
    <w:rsid w:val="7DFFE208"/>
    <w:rsid w:val="7E0D27E1"/>
    <w:rsid w:val="7E3F331F"/>
    <w:rsid w:val="7E4EB318"/>
    <w:rsid w:val="7EEF6FA1"/>
    <w:rsid w:val="7EFE06C8"/>
    <w:rsid w:val="7EFE6370"/>
    <w:rsid w:val="7EFF0BEB"/>
    <w:rsid w:val="7EFF9F34"/>
    <w:rsid w:val="7F3FDBA0"/>
    <w:rsid w:val="7F4A8C45"/>
    <w:rsid w:val="7F5F190A"/>
    <w:rsid w:val="7F7EF0A7"/>
    <w:rsid w:val="7F93B2A5"/>
    <w:rsid w:val="7FA95028"/>
    <w:rsid w:val="7FAC61B7"/>
    <w:rsid w:val="7FC71432"/>
    <w:rsid w:val="7FD38388"/>
    <w:rsid w:val="7FDF9A3B"/>
    <w:rsid w:val="7FDFD5B9"/>
    <w:rsid w:val="7FEDED41"/>
    <w:rsid w:val="7FEF0941"/>
    <w:rsid w:val="7FF20878"/>
    <w:rsid w:val="7FF3065B"/>
    <w:rsid w:val="7FF5D1DA"/>
    <w:rsid w:val="7FF5F7FA"/>
    <w:rsid w:val="7FFB28CE"/>
    <w:rsid w:val="7FFC6FCF"/>
    <w:rsid w:val="7FFD7A9A"/>
    <w:rsid w:val="7FFF16B7"/>
    <w:rsid w:val="7FFF1EAF"/>
    <w:rsid w:val="7FFF2463"/>
    <w:rsid w:val="7FFF8D2D"/>
    <w:rsid w:val="7FFFA5A0"/>
    <w:rsid w:val="7FFFD2AC"/>
    <w:rsid w:val="87CB9AE6"/>
    <w:rsid w:val="97FA5AEF"/>
    <w:rsid w:val="9A25F987"/>
    <w:rsid w:val="9BBE6C2F"/>
    <w:rsid w:val="9FEB7E1F"/>
    <w:rsid w:val="A77FC3C8"/>
    <w:rsid w:val="A7E7E7CF"/>
    <w:rsid w:val="AB7F3113"/>
    <w:rsid w:val="ABEA10EC"/>
    <w:rsid w:val="AEEBE1A9"/>
    <w:rsid w:val="AF6FB811"/>
    <w:rsid w:val="AFCD07C7"/>
    <w:rsid w:val="AFD3A0C0"/>
    <w:rsid w:val="B0AFEBE5"/>
    <w:rsid w:val="B69996C7"/>
    <w:rsid w:val="B76D78E5"/>
    <w:rsid w:val="B7F2A94A"/>
    <w:rsid w:val="BAFE9500"/>
    <w:rsid w:val="BC6F3E85"/>
    <w:rsid w:val="BDF3D426"/>
    <w:rsid w:val="BF7C7C45"/>
    <w:rsid w:val="BFBE8DA5"/>
    <w:rsid w:val="BFD78E1F"/>
    <w:rsid w:val="C7682449"/>
    <w:rsid w:val="C9FE6316"/>
    <w:rsid w:val="CB6FE174"/>
    <w:rsid w:val="D4DFC143"/>
    <w:rsid w:val="D67345BE"/>
    <w:rsid w:val="D756D65E"/>
    <w:rsid w:val="DAEFE4F2"/>
    <w:rsid w:val="DBB63876"/>
    <w:rsid w:val="DBBE453A"/>
    <w:rsid w:val="DBD8AF9A"/>
    <w:rsid w:val="DBFE5AF8"/>
    <w:rsid w:val="DD31B049"/>
    <w:rsid w:val="DDB56966"/>
    <w:rsid w:val="DEE6D717"/>
    <w:rsid w:val="DEEEFDDF"/>
    <w:rsid w:val="DEFB2EC1"/>
    <w:rsid w:val="DEFFB1F3"/>
    <w:rsid w:val="DFEF74DE"/>
    <w:rsid w:val="E7BB25F9"/>
    <w:rsid w:val="E9DB7C44"/>
    <w:rsid w:val="EBC05B0D"/>
    <w:rsid w:val="ECE69E8B"/>
    <w:rsid w:val="ECFD2338"/>
    <w:rsid w:val="ED6FE029"/>
    <w:rsid w:val="EE9374D8"/>
    <w:rsid w:val="EEB2ACE7"/>
    <w:rsid w:val="EEBBE9EA"/>
    <w:rsid w:val="EEE6730C"/>
    <w:rsid w:val="EF871207"/>
    <w:rsid w:val="EFBC7F15"/>
    <w:rsid w:val="EFF61386"/>
    <w:rsid w:val="EFF8DA4E"/>
    <w:rsid w:val="EFFAA423"/>
    <w:rsid w:val="EFFC94F9"/>
    <w:rsid w:val="EFFD484C"/>
    <w:rsid w:val="EFFEE8EE"/>
    <w:rsid w:val="EFFF6632"/>
    <w:rsid w:val="F1CE2D62"/>
    <w:rsid w:val="F32BE2B8"/>
    <w:rsid w:val="F33C6C2F"/>
    <w:rsid w:val="F4DFD232"/>
    <w:rsid w:val="F53DF389"/>
    <w:rsid w:val="F6FD04E6"/>
    <w:rsid w:val="F763EF8E"/>
    <w:rsid w:val="F7DF85D2"/>
    <w:rsid w:val="F7E7990C"/>
    <w:rsid w:val="F7F61C65"/>
    <w:rsid w:val="F89B7E9B"/>
    <w:rsid w:val="F99EF957"/>
    <w:rsid w:val="F9EEFC7D"/>
    <w:rsid w:val="FAA7AFCC"/>
    <w:rsid w:val="FAF7C5FF"/>
    <w:rsid w:val="FB7B1B44"/>
    <w:rsid w:val="FB7E1E0A"/>
    <w:rsid w:val="FBDD75E2"/>
    <w:rsid w:val="FBF31903"/>
    <w:rsid w:val="FBFE0236"/>
    <w:rsid w:val="FCEEE88E"/>
    <w:rsid w:val="FCEFDDC0"/>
    <w:rsid w:val="FD563FD5"/>
    <w:rsid w:val="FDFB456D"/>
    <w:rsid w:val="FDFC5AF9"/>
    <w:rsid w:val="FDFFD4F0"/>
    <w:rsid w:val="FE5F547E"/>
    <w:rsid w:val="FEE9D818"/>
    <w:rsid w:val="FEEBE922"/>
    <w:rsid w:val="FEFF8434"/>
    <w:rsid w:val="FEFFF861"/>
    <w:rsid w:val="FF3F4D7A"/>
    <w:rsid w:val="FF4DFD02"/>
    <w:rsid w:val="FF6302C4"/>
    <w:rsid w:val="FF67B649"/>
    <w:rsid w:val="FF7BB9D0"/>
    <w:rsid w:val="FF7F320A"/>
    <w:rsid w:val="FF7F370E"/>
    <w:rsid w:val="FFAD9DEC"/>
    <w:rsid w:val="FFADD46A"/>
    <w:rsid w:val="FFB0E473"/>
    <w:rsid w:val="FFD22EF9"/>
    <w:rsid w:val="FFE7C459"/>
    <w:rsid w:val="FFEFB894"/>
    <w:rsid w:val="FFF4AB2C"/>
    <w:rsid w:val="FFF7AE91"/>
    <w:rsid w:val="FFFD2634"/>
    <w:rsid w:val="FFFD372D"/>
    <w:rsid w:val="FFFF0014"/>
    <w:rsid w:val="FFFF00C8"/>
    <w:rsid w:val="FFFF0A52"/>
    <w:rsid w:val="FFFF1881"/>
    <w:rsid w:val="FFFFE358"/>
    <w:rsid w:val="FFFFF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link w:val="142"/>
    <w:unhideWhenUsed/>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Body Text"/>
    <w:basedOn w:val="1"/>
    <w:semiHidden/>
    <w:qFormat/>
    <w:uiPriority w:val="0"/>
    <w:rPr>
      <w:rFonts w:ascii="黑体" w:hAnsi="黑体" w:eastAsia="黑体" w:cs="黑体"/>
      <w:sz w:val="28"/>
      <w:szCs w:val="28"/>
      <w:lang w:val="en-US" w:eastAsia="en-US" w:bidi="ar-SA"/>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semiHidden/>
    <w:qFormat/>
    <w:uiPriority w:val="0"/>
    <w:pPr>
      <w:tabs>
        <w:tab w:val="right" w:leader="dot" w:pos="9241"/>
      </w:tabs>
      <w:ind w:firstLine="100"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140"/>
    <w:qFormat/>
    <w:uiPriority w:val="0"/>
    <w:rPr>
      <w:sz w:val="18"/>
      <w:szCs w:val="18"/>
    </w:r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semiHidden/>
    <w:qFormat/>
    <w:uiPriority w:val="0"/>
    <w:pPr>
      <w:tabs>
        <w:tab w:val="right" w:leader="dot" w:pos="9242"/>
      </w:tabs>
      <w:spacing w:beforeLines="25" w:afterLines="25"/>
      <w:jc w:val="left"/>
    </w:pPr>
    <w:rPr>
      <w:rFonts w:ascii="宋体"/>
      <w:szCs w:val="21"/>
    </w:rPr>
  </w:style>
  <w:style w:type="paragraph" w:styleId="21">
    <w:name w:val="toc 4"/>
    <w:basedOn w:val="1"/>
    <w:next w:val="1"/>
    <w:semiHidden/>
    <w:qFormat/>
    <w:uiPriority w:val="0"/>
    <w:pPr>
      <w:tabs>
        <w:tab w:val="right" w:leader="dot" w:pos="9241"/>
      </w:tabs>
      <w:ind w:firstLine="200"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4"/>
    <w:qFormat/>
    <w:uiPriority w:val="0"/>
    <w:pPr>
      <w:tabs>
        <w:tab w:val="center" w:pos="4201"/>
        <w:tab w:val="right" w:leader="dot" w:pos="9298"/>
      </w:tabs>
      <w:autoSpaceDE w:val="0"/>
      <w:autoSpaceDN w:val="0"/>
      <w:ind w:firstLine="420" w:firstLineChars="200"/>
      <w:jc w:val="both"/>
      <w:pPrChange w:id="0" w:author="宗印 崔" w:date="2024-03-13T14:43:00Z">
        <w:pPr>
          <w:autoSpaceDE w:val="0"/>
          <w:autoSpaceDN w:val="0"/>
          <w:ind w:firstLine="420" w:firstLineChars="200"/>
          <w:jc w:val="both"/>
        </w:pPr>
      </w:pPrChange>
    </w:pPr>
    <w:rPr>
      <w:rFonts w:ascii="宋体" w:hAnsi="Times New Roman" w:eastAsia="宋体" w:cs="Times New Roman"/>
      <w:sz w:val="21"/>
      <w:lang w:val="en-US" w:eastAsia="zh-CN" w:bidi="ar-SA"/>
      <w:rPrChange w:id="1" w:author="宗印 崔" w:date="2024-03-13T14:43:00Z">
        <w:rPr>
          <w:rFonts w:ascii="宋体" w:eastAsia="宋体"/>
          <w:sz w:val="21"/>
          <w:lang w:val="en-US" w:eastAsia="zh-CN" w:bidi="ar-SA"/>
        </w:rPr>
      </w:rPrChange>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0"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2"/>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Normal (Web)"/>
    <w:basedOn w:val="1"/>
    <w:semiHidden/>
    <w:unhideWhenUsed/>
    <w:qFormat/>
    <w:uiPriority w:val="0"/>
    <w:pPr>
      <w:spacing w:beforeAutospacing="1" w:afterAutospacing="1"/>
      <w:jc w:val="left"/>
    </w:pPr>
    <w:rPr>
      <w:kern w:val="0"/>
      <w:sz w:val="24"/>
    </w:rPr>
  </w:style>
  <w:style w:type="paragraph" w:styleId="32">
    <w:name w:val="index 2"/>
    <w:basedOn w:val="1"/>
    <w:next w:val="1"/>
    <w:qFormat/>
    <w:uiPriority w:val="0"/>
    <w:pPr>
      <w:ind w:left="420" w:hanging="210"/>
      <w:jc w:val="left"/>
    </w:pPr>
    <w:rPr>
      <w:rFonts w:ascii="Calibri" w:hAnsi="Calibri"/>
      <w:sz w:val="20"/>
      <w:szCs w:val="20"/>
    </w:rPr>
  </w:style>
  <w:style w:type="paragraph" w:styleId="33">
    <w:name w:val="annotation subject"/>
    <w:basedOn w:val="8"/>
    <w:next w:val="8"/>
    <w:link w:val="143"/>
    <w:unhideWhenUsed/>
    <w:qFormat/>
    <w:uiPriority w:val="0"/>
    <w:rPr>
      <w:b/>
      <w:bCs/>
    </w:rPr>
  </w:style>
  <w:style w:type="table" w:styleId="35">
    <w:name w:val="Table Grid"/>
    <w:basedOn w:val="34"/>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Strong"/>
    <w:basedOn w:val="36"/>
    <w:qFormat/>
    <w:uiPriority w:val="0"/>
    <w:rPr>
      <w:b/>
    </w:rPr>
  </w:style>
  <w:style w:type="character" w:styleId="38">
    <w:name w:val="endnote reference"/>
    <w:basedOn w:val="36"/>
    <w:semiHidden/>
    <w:qFormat/>
    <w:uiPriority w:val="0"/>
    <w:rPr>
      <w:vertAlign w:val="superscript"/>
    </w:rPr>
  </w:style>
  <w:style w:type="character" w:styleId="39">
    <w:name w:val="page number"/>
    <w:basedOn w:val="36"/>
    <w:qFormat/>
    <w:uiPriority w:val="0"/>
    <w:rPr>
      <w:rFonts w:ascii="Times New Roman" w:hAnsi="Times New Roman" w:eastAsia="宋体"/>
      <w:sz w:val="18"/>
    </w:rPr>
  </w:style>
  <w:style w:type="character" w:styleId="40">
    <w:name w:val="FollowedHyperlink"/>
    <w:basedOn w:val="36"/>
    <w:qFormat/>
    <w:uiPriority w:val="0"/>
    <w:rPr>
      <w:color w:val="800080"/>
      <w:u w:val="single"/>
    </w:rPr>
  </w:style>
  <w:style w:type="character" w:styleId="41">
    <w:name w:val="Hyperlink"/>
    <w:basedOn w:val="36"/>
    <w:qFormat/>
    <w:uiPriority w:val="0"/>
    <w:rPr>
      <w:color w:val="0000FF"/>
      <w:spacing w:val="0"/>
      <w:w w:val="100"/>
      <w:szCs w:val="21"/>
      <w:u w:val="single"/>
    </w:rPr>
  </w:style>
  <w:style w:type="character" w:styleId="42">
    <w:name w:val="annotation reference"/>
    <w:basedOn w:val="36"/>
    <w:unhideWhenUsed/>
    <w:qFormat/>
    <w:uiPriority w:val="0"/>
    <w:rPr>
      <w:sz w:val="21"/>
      <w:szCs w:val="21"/>
    </w:rPr>
  </w:style>
  <w:style w:type="character" w:styleId="43">
    <w:name w:val="footnote reference"/>
    <w:basedOn w:val="36"/>
    <w:semiHidden/>
    <w:qFormat/>
    <w:uiPriority w:val="0"/>
    <w:rPr>
      <w:vertAlign w:val="superscript"/>
    </w:rPr>
  </w:style>
  <w:style w:type="character" w:customStyle="1" w:styleId="44">
    <w:name w:val="段 Char"/>
    <w:basedOn w:val="36"/>
    <w:link w:val="24"/>
    <w:qFormat/>
    <w:uiPriority w:val="0"/>
    <w:rPr>
      <w:rFonts w:ascii="宋体"/>
      <w:sz w:val="21"/>
    </w:rPr>
  </w:style>
  <w:style w:type="paragraph" w:customStyle="1" w:styleId="45">
    <w:name w:val="一级条标题"/>
    <w:next w:val="24"/>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8">
    <w:name w:val="章标题"/>
    <w:next w:val="24"/>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5"/>
    <w:next w:val="24"/>
    <w:qFormat/>
    <w:uiPriority w:val="0"/>
    <w:pPr>
      <w:numPr>
        <w:ilvl w:val="2"/>
      </w:numPr>
      <w:spacing w:before="50" w:after="50"/>
      <w:outlineLvl w:val="3"/>
    </w:pPr>
  </w:style>
  <w:style w:type="paragraph" w:customStyle="1" w:styleId="5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3">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4">
    <w:name w:val="三级条标题"/>
    <w:basedOn w:val="49"/>
    <w:next w:val="24"/>
    <w:qFormat/>
    <w:uiPriority w:val="0"/>
    <w:pPr>
      <w:numPr>
        <w:ilvl w:val="3"/>
      </w:numPr>
      <w:outlineLvl w:val="4"/>
    </w:pPr>
  </w:style>
  <w:style w:type="paragraph" w:customStyle="1" w:styleId="55">
    <w:name w:val="示例"/>
    <w:next w:val="5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8">
    <w:name w:val="四级条标题"/>
    <w:basedOn w:val="54"/>
    <w:next w:val="24"/>
    <w:qFormat/>
    <w:uiPriority w:val="0"/>
    <w:pPr>
      <w:numPr>
        <w:ilvl w:val="4"/>
      </w:numPr>
      <w:outlineLvl w:val="5"/>
    </w:pPr>
  </w:style>
  <w:style w:type="paragraph" w:customStyle="1" w:styleId="59">
    <w:name w:val="五级条标题"/>
    <w:basedOn w:val="58"/>
    <w:next w:val="24"/>
    <w:qFormat/>
    <w:uiPriority w:val="0"/>
    <w:pPr>
      <w:numPr>
        <w:ilvl w:val="5"/>
      </w:numPr>
      <w:outlineLvl w:val="6"/>
    </w:pPr>
  </w:style>
  <w:style w:type="paragraph" w:customStyle="1" w:styleId="60">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1">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2">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3">
    <w:name w:val="列项◆（三级）"/>
    <w:basedOn w:val="1"/>
    <w:qFormat/>
    <w:uiPriority w:val="0"/>
    <w:pPr>
      <w:numPr>
        <w:ilvl w:val="2"/>
        <w:numId w:val="3"/>
      </w:numPr>
    </w:pPr>
    <w:rPr>
      <w:rFonts w:ascii="宋体"/>
      <w:szCs w:val="21"/>
    </w:rPr>
  </w:style>
  <w:style w:type="paragraph" w:customStyle="1" w:styleId="64">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5">
    <w:name w:val="示例×："/>
    <w:basedOn w:val="48"/>
    <w:qFormat/>
    <w:uiPriority w:val="0"/>
    <w:pPr>
      <w:numPr>
        <w:numId w:val="8"/>
      </w:numPr>
      <w:spacing w:beforeLines="0" w:afterLines="0"/>
      <w:outlineLvl w:val="9"/>
    </w:pPr>
    <w:rPr>
      <w:rFonts w:ascii="宋体" w:eastAsia="宋体"/>
      <w:sz w:val="18"/>
      <w:szCs w:val="18"/>
    </w:rPr>
  </w:style>
  <w:style w:type="paragraph" w:customStyle="1" w:styleId="66">
    <w:name w:val="二级无"/>
    <w:basedOn w:val="49"/>
    <w:qFormat/>
    <w:uiPriority w:val="0"/>
    <w:pPr>
      <w:spacing w:beforeLines="0" w:afterLines="0"/>
    </w:pPr>
    <w:rPr>
      <w:rFonts w:ascii="宋体" w:eastAsia="宋体"/>
    </w:rPr>
  </w:style>
  <w:style w:type="paragraph" w:customStyle="1" w:styleId="67">
    <w:name w:val="注：（正文）"/>
    <w:basedOn w:val="60"/>
    <w:next w:val="24"/>
    <w:qFormat/>
    <w:uiPriority w:val="0"/>
  </w:style>
  <w:style w:type="paragraph" w:customStyle="1" w:styleId="68">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2">
    <w:name w:val="标准书眉_偶数页"/>
    <w:basedOn w:val="47"/>
    <w:next w:val="1"/>
    <w:qFormat/>
    <w:uiPriority w:val="0"/>
    <w:pPr>
      <w:jc w:val="left"/>
    </w:p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5">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6">
    <w:name w:val="发布"/>
    <w:basedOn w:val="36"/>
    <w:qFormat/>
    <w:uiPriority w:val="0"/>
    <w:rPr>
      <w:rFonts w:ascii="黑体" w:eastAsia="黑体"/>
      <w:spacing w:val="85"/>
      <w:w w:val="100"/>
      <w:position w:val="3"/>
      <w:sz w:val="28"/>
      <w:szCs w:val="28"/>
    </w:rPr>
  </w:style>
  <w:style w:type="paragraph" w:customStyle="1" w:styleId="77">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2">
    <w:name w:val="封面标准英文名称"/>
    <w:basedOn w:val="81"/>
    <w:qFormat/>
    <w:uiPriority w:val="0"/>
    <w:pPr>
      <w:framePr w:wrap="around"/>
      <w:spacing w:before="370" w:line="400" w:lineRule="exact"/>
    </w:pPr>
    <w:rPr>
      <w:rFonts w:ascii="Times New Roman"/>
      <w:sz w:val="28"/>
      <w:szCs w:val="28"/>
    </w:rPr>
  </w:style>
  <w:style w:type="paragraph" w:customStyle="1" w:styleId="83">
    <w:name w:val="封面一致性程度标识"/>
    <w:basedOn w:val="82"/>
    <w:qFormat/>
    <w:uiPriority w:val="0"/>
    <w:pPr>
      <w:framePr w:wrap="around"/>
      <w:spacing w:before="440"/>
    </w:pPr>
    <w:rPr>
      <w:rFonts w:ascii="宋体" w:eastAsia="宋体"/>
    </w:rPr>
  </w:style>
  <w:style w:type="paragraph" w:customStyle="1" w:styleId="84">
    <w:name w:val="封面标准文稿类别"/>
    <w:basedOn w:val="83"/>
    <w:qFormat/>
    <w:uiPriority w:val="0"/>
    <w:pPr>
      <w:framePr w:wrap="around"/>
      <w:spacing w:after="160" w:line="240" w:lineRule="auto"/>
    </w:pPr>
    <w:rPr>
      <w:sz w:val="24"/>
    </w:rPr>
  </w:style>
  <w:style w:type="paragraph" w:customStyle="1" w:styleId="85">
    <w:name w:val="封面标准文稿编辑信息"/>
    <w:basedOn w:val="84"/>
    <w:qFormat/>
    <w:uiPriority w:val="0"/>
    <w:pPr>
      <w:framePr w:wrap="around"/>
      <w:spacing w:before="180" w:line="180" w:lineRule="exact"/>
    </w:pPr>
    <w:rPr>
      <w:sz w:val="21"/>
    </w:rPr>
  </w:style>
  <w:style w:type="paragraph" w:customStyle="1" w:styleId="86">
    <w:name w:val="封面正文"/>
    <w:qFormat/>
    <w:uiPriority w:val="0"/>
    <w:pPr>
      <w:jc w:val="both"/>
    </w:pPr>
    <w:rPr>
      <w:rFonts w:ascii="Times New Roman" w:hAnsi="Times New Roman" w:eastAsia="宋体" w:cs="Times New Roman"/>
      <w:lang w:val="en-US" w:eastAsia="zh-CN" w:bidi="ar-SA"/>
    </w:rPr>
  </w:style>
  <w:style w:type="paragraph" w:customStyle="1" w:styleId="87">
    <w:name w:val="附录标识"/>
    <w:basedOn w:val="1"/>
    <w:next w:val="24"/>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8">
    <w:name w:val="附录标题"/>
    <w:basedOn w:val="24"/>
    <w:next w:val="24"/>
    <w:qFormat/>
    <w:uiPriority w:val="0"/>
    <w:pPr>
      <w:ind w:firstLine="0" w:firstLineChars="0"/>
      <w:jc w:val="center"/>
    </w:pPr>
    <w:rPr>
      <w:rFonts w:ascii="黑体" w:eastAsia="黑体"/>
    </w:rPr>
  </w:style>
  <w:style w:type="paragraph" w:customStyle="1" w:styleId="89">
    <w:name w:val="附录表标号"/>
    <w:basedOn w:val="1"/>
    <w:next w:val="24"/>
    <w:qFormat/>
    <w:uiPriority w:val="0"/>
    <w:pPr>
      <w:numPr>
        <w:ilvl w:val="0"/>
        <w:numId w:val="11"/>
      </w:numPr>
      <w:spacing w:line="14" w:lineRule="exact"/>
      <w:jc w:val="center"/>
      <w:outlineLvl w:val="0"/>
    </w:pPr>
    <w:rPr>
      <w:color w:val="FFFFFF"/>
    </w:rPr>
  </w:style>
  <w:style w:type="paragraph" w:customStyle="1" w:styleId="90">
    <w:name w:val="附录表标题"/>
    <w:basedOn w:val="1"/>
    <w:next w:val="24"/>
    <w:qFormat/>
    <w:uiPriority w:val="0"/>
    <w:pPr>
      <w:numPr>
        <w:ilvl w:val="1"/>
        <w:numId w:val="11"/>
      </w:numPr>
      <w:spacing w:beforeLines="50" w:afterLines="50"/>
      <w:jc w:val="center"/>
    </w:pPr>
    <w:rPr>
      <w:rFonts w:ascii="黑体" w:eastAsia="黑体"/>
      <w:szCs w:val="21"/>
    </w:rPr>
  </w:style>
  <w:style w:type="paragraph" w:customStyle="1" w:styleId="91">
    <w:name w:val="附录二级条标题"/>
    <w:basedOn w:val="1"/>
    <w:next w:val="24"/>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2">
    <w:name w:val="附录二级无"/>
    <w:basedOn w:val="91"/>
    <w:qFormat/>
    <w:uiPriority w:val="0"/>
    <w:pPr>
      <w:tabs>
        <w:tab w:val="clear" w:pos="360"/>
      </w:tabs>
      <w:spacing w:beforeLines="0" w:afterLines="0"/>
    </w:pPr>
    <w:rPr>
      <w:rFonts w:ascii="宋体" w:eastAsia="宋体"/>
      <w:szCs w:val="21"/>
    </w:rPr>
  </w:style>
  <w:style w:type="paragraph" w:customStyle="1" w:styleId="93">
    <w:name w:val="附录公式"/>
    <w:basedOn w:val="24"/>
    <w:next w:val="24"/>
    <w:link w:val="94"/>
    <w:qFormat/>
    <w:uiPriority w:val="0"/>
  </w:style>
  <w:style w:type="character" w:customStyle="1" w:styleId="94">
    <w:name w:val="附录公式 Char"/>
    <w:basedOn w:val="44"/>
    <w:link w:val="93"/>
    <w:qFormat/>
    <w:uiPriority w:val="0"/>
    <w:rPr>
      <w:rFonts w:ascii="宋体"/>
      <w:sz w:val="21"/>
      <w:lang w:val="en-US" w:eastAsia="zh-CN" w:bidi="ar-SA"/>
    </w:rPr>
  </w:style>
  <w:style w:type="paragraph" w:customStyle="1" w:styleId="95">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6">
    <w:name w:val="附录三级条标题"/>
    <w:basedOn w:val="91"/>
    <w:next w:val="24"/>
    <w:qFormat/>
    <w:uiPriority w:val="0"/>
    <w:pPr>
      <w:numPr>
        <w:ilvl w:val="4"/>
      </w:numPr>
      <w:outlineLvl w:val="4"/>
    </w:pPr>
  </w:style>
  <w:style w:type="paragraph" w:customStyle="1" w:styleId="97">
    <w:name w:val="附录三级无"/>
    <w:basedOn w:val="96"/>
    <w:qFormat/>
    <w:uiPriority w:val="0"/>
    <w:pPr>
      <w:tabs>
        <w:tab w:val="clear" w:pos="360"/>
      </w:tabs>
      <w:spacing w:beforeLines="0" w:afterLines="0"/>
    </w:pPr>
    <w:rPr>
      <w:rFonts w:ascii="宋体" w:eastAsia="宋体"/>
      <w:szCs w:val="21"/>
    </w:rPr>
  </w:style>
  <w:style w:type="paragraph" w:customStyle="1" w:styleId="98">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9">
    <w:name w:val="附录四级条标题"/>
    <w:basedOn w:val="96"/>
    <w:next w:val="24"/>
    <w:qFormat/>
    <w:uiPriority w:val="0"/>
    <w:pPr>
      <w:numPr>
        <w:ilvl w:val="5"/>
      </w:numPr>
      <w:outlineLvl w:val="5"/>
    </w:pPr>
  </w:style>
  <w:style w:type="paragraph" w:customStyle="1" w:styleId="100">
    <w:name w:val="附录四级无"/>
    <w:basedOn w:val="99"/>
    <w:qFormat/>
    <w:uiPriority w:val="0"/>
    <w:pPr>
      <w:tabs>
        <w:tab w:val="clear" w:pos="360"/>
      </w:tabs>
      <w:spacing w:beforeLines="0" w:afterLines="0"/>
    </w:pPr>
    <w:rPr>
      <w:rFonts w:ascii="宋体" w:eastAsia="宋体"/>
      <w:szCs w:val="21"/>
    </w:rPr>
  </w:style>
  <w:style w:type="paragraph" w:customStyle="1" w:styleId="101">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2">
    <w:name w:val="附录图标题"/>
    <w:basedOn w:val="1"/>
    <w:next w:val="24"/>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03">
    <w:name w:val="附录五级条标题"/>
    <w:basedOn w:val="99"/>
    <w:next w:val="24"/>
    <w:qFormat/>
    <w:uiPriority w:val="0"/>
    <w:pPr>
      <w:numPr>
        <w:ilvl w:val="6"/>
      </w:numPr>
      <w:outlineLvl w:val="6"/>
    </w:pPr>
  </w:style>
  <w:style w:type="paragraph" w:customStyle="1" w:styleId="104">
    <w:name w:val="附录五级无"/>
    <w:basedOn w:val="103"/>
    <w:qFormat/>
    <w:uiPriority w:val="0"/>
    <w:pPr>
      <w:tabs>
        <w:tab w:val="clear" w:pos="360"/>
      </w:tabs>
      <w:spacing w:beforeLines="0" w:afterLines="0"/>
    </w:pPr>
    <w:rPr>
      <w:rFonts w:ascii="宋体" w:eastAsia="宋体"/>
      <w:szCs w:val="21"/>
    </w:rPr>
  </w:style>
  <w:style w:type="paragraph" w:customStyle="1" w:styleId="105">
    <w:name w:val="附录章标题"/>
    <w:next w:val="24"/>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6">
    <w:name w:val="附录一级条标题"/>
    <w:basedOn w:val="105"/>
    <w:next w:val="24"/>
    <w:qFormat/>
    <w:uiPriority w:val="0"/>
    <w:pPr>
      <w:numPr>
        <w:ilvl w:val="2"/>
      </w:numPr>
      <w:autoSpaceDN w:val="0"/>
      <w:spacing w:beforeLines="50" w:afterLines="50"/>
      <w:outlineLvl w:val="2"/>
    </w:pPr>
  </w:style>
  <w:style w:type="paragraph" w:customStyle="1" w:styleId="107">
    <w:name w:val="附录一级无"/>
    <w:basedOn w:val="106"/>
    <w:qFormat/>
    <w:uiPriority w:val="0"/>
    <w:pPr>
      <w:tabs>
        <w:tab w:val="clear" w:pos="360"/>
      </w:tabs>
      <w:spacing w:beforeLines="0" w:afterLines="0"/>
    </w:pPr>
    <w:rPr>
      <w:rFonts w:ascii="宋体" w:eastAsia="宋体"/>
      <w:szCs w:val="21"/>
    </w:rPr>
  </w:style>
  <w:style w:type="paragraph" w:customStyle="1" w:styleId="108">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2">
    <w:name w:val="其他标准标志"/>
    <w:basedOn w:val="69"/>
    <w:qFormat/>
    <w:uiPriority w:val="0"/>
    <w:pPr>
      <w:framePr w:w="6101" w:wrap="around" w:vAnchor="page" w:hAnchor="page" w:x="4673" w:y="942"/>
    </w:pPr>
    <w:rPr>
      <w:w w:val="130"/>
    </w:rPr>
  </w:style>
  <w:style w:type="paragraph" w:customStyle="1" w:styleId="11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4">
    <w:name w:val="其他发布部门"/>
    <w:basedOn w:val="77"/>
    <w:qFormat/>
    <w:uiPriority w:val="0"/>
    <w:pPr>
      <w:framePr w:wrap="around" w:y="15310"/>
      <w:spacing w:line="0" w:lineRule="atLeast"/>
    </w:pPr>
    <w:rPr>
      <w:rFonts w:ascii="黑体" w:eastAsia="黑体"/>
      <w:b w:val="0"/>
    </w:rPr>
  </w:style>
  <w:style w:type="paragraph" w:customStyle="1" w:styleId="115">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6">
    <w:name w:val="三级无"/>
    <w:basedOn w:val="54"/>
    <w:qFormat/>
    <w:uiPriority w:val="0"/>
    <w:pPr>
      <w:spacing w:beforeLines="0" w:afterLines="0"/>
    </w:pPr>
    <w:rPr>
      <w:rFonts w:ascii="宋体" w:eastAsia="宋体"/>
    </w:rPr>
  </w:style>
  <w:style w:type="paragraph" w:customStyle="1" w:styleId="117">
    <w:name w:val="实施日期"/>
    <w:basedOn w:val="78"/>
    <w:qFormat/>
    <w:uiPriority w:val="0"/>
    <w:pPr>
      <w:framePr w:wrap="around" w:vAnchor="page" w:hAnchor="text"/>
      <w:jc w:val="right"/>
    </w:pPr>
  </w:style>
  <w:style w:type="paragraph" w:customStyle="1" w:styleId="118">
    <w:name w:val="示例后文字"/>
    <w:basedOn w:val="24"/>
    <w:next w:val="24"/>
    <w:qFormat/>
    <w:uiPriority w:val="0"/>
    <w:pPr>
      <w:ind w:firstLine="360"/>
    </w:pPr>
    <w:rPr>
      <w:sz w:val="18"/>
    </w:rPr>
  </w:style>
  <w:style w:type="paragraph" w:customStyle="1" w:styleId="119">
    <w:name w:val="首示例"/>
    <w:next w:val="24"/>
    <w:link w:val="120"/>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0">
    <w:name w:val="首示例 Char"/>
    <w:basedOn w:val="36"/>
    <w:link w:val="119"/>
    <w:qFormat/>
    <w:uiPriority w:val="0"/>
    <w:rPr>
      <w:rFonts w:ascii="宋体" w:hAnsi="宋体"/>
      <w:kern w:val="2"/>
      <w:sz w:val="18"/>
      <w:szCs w:val="18"/>
    </w:rPr>
  </w:style>
  <w:style w:type="paragraph" w:customStyle="1" w:styleId="121">
    <w:name w:val="四级无"/>
    <w:basedOn w:val="58"/>
    <w:qFormat/>
    <w:uiPriority w:val="0"/>
    <w:pPr>
      <w:spacing w:beforeLines="0" w:afterLines="0"/>
    </w:pPr>
    <w:rPr>
      <w:rFonts w:ascii="宋体" w:eastAsia="宋体"/>
    </w:rPr>
  </w:style>
  <w:style w:type="paragraph" w:customStyle="1" w:styleId="122">
    <w:name w:val="条文脚注"/>
    <w:basedOn w:val="25"/>
    <w:qFormat/>
    <w:uiPriority w:val="0"/>
    <w:pPr>
      <w:numPr>
        <w:numId w:val="0"/>
      </w:numPr>
      <w:jc w:val="both"/>
    </w:pPr>
  </w:style>
  <w:style w:type="paragraph" w:customStyle="1" w:styleId="123">
    <w:name w:val="图标脚注说明"/>
    <w:basedOn w:val="24"/>
    <w:qFormat/>
    <w:uiPriority w:val="0"/>
    <w:pPr>
      <w:ind w:left="840" w:hanging="420" w:firstLineChars="0"/>
    </w:pPr>
    <w:rPr>
      <w:sz w:val="18"/>
      <w:szCs w:val="18"/>
    </w:rPr>
  </w:style>
  <w:style w:type="paragraph" w:customStyle="1" w:styleId="124">
    <w:name w:val="图表脚注说明"/>
    <w:basedOn w:val="1"/>
    <w:qFormat/>
    <w:uiPriority w:val="0"/>
    <w:pPr>
      <w:numPr>
        <w:ilvl w:val="0"/>
        <w:numId w:val="15"/>
      </w:numPr>
    </w:pPr>
    <w:rPr>
      <w:rFonts w:ascii="宋体"/>
      <w:sz w:val="18"/>
      <w:szCs w:val="18"/>
    </w:rPr>
  </w:style>
  <w:style w:type="paragraph" w:customStyle="1" w:styleId="125">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五级无"/>
    <w:basedOn w:val="59"/>
    <w:qFormat/>
    <w:uiPriority w:val="0"/>
    <w:pPr>
      <w:spacing w:beforeLines="0" w:afterLines="0"/>
    </w:pPr>
    <w:rPr>
      <w:rFonts w:ascii="宋体" w:eastAsia="宋体"/>
    </w:rPr>
  </w:style>
  <w:style w:type="paragraph" w:customStyle="1" w:styleId="128">
    <w:name w:val="一级无"/>
    <w:basedOn w:val="45"/>
    <w:qFormat/>
    <w:uiPriority w:val="0"/>
    <w:pPr>
      <w:spacing w:beforeLines="0" w:afterLines="0"/>
    </w:pPr>
    <w:rPr>
      <w:rFonts w:ascii="宋体" w:eastAsia="宋体"/>
    </w:rPr>
  </w:style>
  <w:style w:type="paragraph" w:customStyle="1" w:styleId="129">
    <w:name w:val="正文表标题"/>
    <w:next w:val="24"/>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0">
    <w:name w:val="正文公式编号制表符"/>
    <w:basedOn w:val="24"/>
    <w:next w:val="24"/>
    <w:qFormat/>
    <w:uiPriority w:val="0"/>
    <w:pPr>
      <w:ind w:firstLine="360" w:firstLineChars="0"/>
      <w:pPrChange w:id="2" w:author="宗印 崔" w:date="2024-03-13T14:35:00Z">
        <w:pPr>
          <w:autoSpaceDE w:val="0"/>
          <w:autoSpaceDN w:val="0"/>
          <w:jc w:val="both"/>
        </w:pPr>
      </w:pPrChange>
    </w:pPr>
    <w:rPr>
      <w:rPrChange w:id="3" w:author="宗印 崔" w:date="2024-03-13T14:35:00Z">
        <w:rPr>
          <w:rFonts w:ascii="宋体" w:eastAsia="宋体"/>
          <w:sz w:val="21"/>
          <w:lang w:val="en-US" w:eastAsia="zh-CN" w:bidi="ar-SA"/>
        </w:rPr>
      </w:rPrChange>
    </w:rPr>
  </w:style>
  <w:style w:type="paragraph" w:customStyle="1" w:styleId="131">
    <w:name w:val="正文图标题"/>
    <w:next w:val="24"/>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2">
    <w:name w:val="终结线"/>
    <w:basedOn w:val="1"/>
    <w:qFormat/>
    <w:uiPriority w:val="0"/>
    <w:pPr>
      <w:framePr w:hSpace="181" w:vSpace="181" w:wrap="around" w:vAnchor="text" w:hAnchor="margin" w:xAlign="center" w:y="285"/>
    </w:pPr>
  </w:style>
  <w:style w:type="paragraph" w:customStyle="1" w:styleId="133">
    <w:name w:val="其他发布日期"/>
    <w:basedOn w:val="78"/>
    <w:qFormat/>
    <w:uiPriority w:val="0"/>
    <w:pPr>
      <w:framePr w:wrap="around" w:vAnchor="page" w:hAnchor="text" w:x="1419"/>
    </w:pPr>
  </w:style>
  <w:style w:type="paragraph" w:customStyle="1" w:styleId="134">
    <w:name w:val="其他实施日期"/>
    <w:basedOn w:val="117"/>
    <w:qFormat/>
    <w:uiPriority w:val="0"/>
    <w:pPr>
      <w:framePr w:wrap="around"/>
    </w:pPr>
  </w:style>
  <w:style w:type="paragraph" w:customStyle="1" w:styleId="135">
    <w:name w:val="封面标准名称2"/>
    <w:basedOn w:val="81"/>
    <w:qFormat/>
    <w:uiPriority w:val="0"/>
    <w:pPr>
      <w:framePr w:wrap="around" w:y="4469"/>
      <w:spacing w:beforeLines="630"/>
    </w:pPr>
  </w:style>
  <w:style w:type="paragraph" w:customStyle="1" w:styleId="136">
    <w:name w:val="封面标准英文名称2"/>
    <w:basedOn w:val="82"/>
    <w:qFormat/>
    <w:uiPriority w:val="0"/>
    <w:pPr>
      <w:framePr w:wrap="around" w:y="4469"/>
    </w:pPr>
  </w:style>
  <w:style w:type="paragraph" w:customStyle="1" w:styleId="137">
    <w:name w:val="封面一致性程度标识2"/>
    <w:basedOn w:val="83"/>
    <w:qFormat/>
    <w:uiPriority w:val="0"/>
    <w:pPr>
      <w:framePr w:wrap="around" w:y="4469"/>
    </w:pPr>
  </w:style>
  <w:style w:type="paragraph" w:customStyle="1" w:styleId="138">
    <w:name w:val="封面标准文稿类别2"/>
    <w:basedOn w:val="84"/>
    <w:qFormat/>
    <w:uiPriority w:val="0"/>
    <w:pPr>
      <w:framePr w:wrap="around" w:y="4469"/>
    </w:pPr>
  </w:style>
  <w:style w:type="paragraph" w:customStyle="1" w:styleId="139">
    <w:name w:val="封面标准文稿编辑信息2"/>
    <w:basedOn w:val="85"/>
    <w:qFormat/>
    <w:uiPriority w:val="0"/>
    <w:pPr>
      <w:framePr w:wrap="around" w:y="4469"/>
    </w:pPr>
  </w:style>
  <w:style w:type="character" w:customStyle="1" w:styleId="140">
    <w:name w:val="批注框文本 字符"/>
    <w:basedOn w:val="36"/>
    <w:link w:val="17"/>
    <w:qFormat/>
    <w:uiPriority w:val="0"/>
    <w:rPr>
      <w:kern w:val="2"/>
      <w:sz w:val="18"/>
      <w:szCs w:val="18"/>
    </w:rPr>
  </w:style>
  <w:style w:type="character" w:styleId="141">
    <w:name w:val="Placeholder Text"/>
    <w:basedOn w:val="36"/>
    <w:semiHidden/>
    <w:qFormat/>
    <w:uiPriority w:val="99"/>
    <w:rPr>
      <w:color w:val="808080"/>
    </w:rPr>
  </w:style>
  <w:style w:type="character" w:customStyle="1" w:styleId="142">
    <w:name w:val="批注文字 字符"/>
    <w:basedOn w:val="36"/>
    <w:link w:val="8"/>
    <w:qFormat/>
    <w:uiPriority w:val="0"/>
    <w:rPr>
      <w:kern w:val="2"/>
      <w:sz w:val="21"/>
      <w:szCs w:val="24"/>
    </w:rPr>
  </w:style>
  <w:style w:type="character" w:customStyle="1" w:styleId="143">
    <w:name w:val="批注主题 字符"/>
    <w:basedOn w:val="142"/>
    <w:link w:val="33"/>
    <w:qFormat/>
    <w:uiPriority w:val="0"/>
    <w:rPr>
      <w:b/>
      <w:bCs/>
      <w:kern w:val="2"/>
      <w:sz w:val="21"/>
      <w:szCs w:val="24"/>
    </w:rPr>
  </w:style>
  <w:style w:type="paragraph" w:customStyle="1" w:styleId="144">
    <w:name w:val="_Style 13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5">
    <w:name w:val="_Style 14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6">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8</Pages>
  <Words>3035</Words>
  <Characters>3554</Characters>
  <Lines>31</Lines>
  <Paragraphs>8</Paragraphs>
  <TotalTime>3</TotalTime>
  <ScaleCrop>false</ScaleCrop>
  <LinksUpToDate>false</LinksUpToDate>
  <CharactersWithSpaces>3721</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2024-03-23T21:38:00Z</dcterms:created>
  <dc:creator>CNIS</dc:creator>
  <cp:lastModifiedBy>李佳霖</cp:lastModifiedBy>
  <dcterms:modified xsi:type="dcterms:W3CDTF">2026-04-24T13:10:35Z</dcterms:modified>
  <dc:title>标准名称</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2052-12.8.2.19550</vt:lpwstr>
  </property>
  <property fmtid="{D5CDD505-2E9C-101B-9397-08002B2CF9AE}" pid="3" name="ICV">
    <vt:lpwstr>654C2E733A7C20EE00FAEA69A9F7A808_43</vt:lpwstr>
  </property>
  <property fmtid="{D5CDD505-2E9C-101B-9397-08002B2CF9AE}" pid="4" name="KSOTemplateDocerSaveRecord">
    <vt:lpwstr>eyJoZGlkIjoiM2Y2ODdiOWZjODc3NGFkMjJmYTA0YTIzMzg5MDg4MDYiLCJ1c2VySWQiOiIxNjcwNzQ0NzI0In0=</vt:lpwstr>
  </property>
</Properties>
</file>